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1B" w:rsidRPr="00872784" w:rsidRDefault="0068201B" w:rsidP="009E7319">
      <w:pPr>
        <w:spacing w:line="240" w:lineRule="auto"/>
        <w:jc w:val="center"/>
        <w:rPr>
          <w:rFonts w:ascii="Garamond" w:hAnsi="Garamond" w:cs="Helvetica"/>
          <w:b/>
          <w:bCs/>
          <w:sz w:val="24"/>
          <w:szCs w:val="24"/>
        </w:rPr>
      </w:pPr>
      <w:r w:rsidRPr="00872784">
        <w:rPr>
          <w:rFonts w:ascii="Garamond" w:hAnsi="Garamond" w:cs="Arial"/>
          <w:b/>
          <w:kern w:val="36"/>
          <w:sz w:val="24"/>
          <w:szCs w:val="24"/>
        </w:rPr>
        <w:t>CSO CONTRIBUTION TO THE GLOBAL PROCESS OF DEVELOPMENT EFFECTIVENESS: A CZECH CONTEXT</w:t>
      </w:r>
    </w:p>
    <w:p w:rsidR="0068201B" w:rsidRPr="00872784" w:rsidRDefault="0068201B" w:rsidP="006D68BC">
      <w:pPr>
        <w:pStyle w:val="Heading1"/>
        <w:spacing w:before="0" w:beforeAutospacing="0" w:after="120" w:afterAutospacing="0"/>
        <w:jc w:val="both"/>
        <w:rPr>
          <w:rFonts w:ascii="Garamond" w:hAnsi="Garamond"/>
          <w:i/>
          <w:sz w:val="24"/>
          <w:szCs w:val="24"/>
          <w:lang w:val="en-GB"/>
        </w:rPr>
      </w:pPr>
      <w:r w:rsidRPr="00872784">
        <w:rPr>
          <w:rFonts w:ascii="Garamond" w:hAnsi="Garamond"/>
          <w:i/>
          <w:sz w:val="24"/>
          <w:szCs w:val="24"/>
          <w:lang w:val="en-GB"/>
        </w:rPr>
        <w:t>About FoRS</w:t>
      </w:r>
    </w:p>
    <w:p w:rsidR="0068201B" w:rsidRPr="00872784" w:rsidRDefault="0068201B" w:rsidP="00BE32B3">
      <w:pPr>
        <w:spacing w:after="120" w:line="240" w:lineRule="auto"/>
        <w:jc w:val="both"/>
        <w:rPr>
          <w:rFonts w:ascii="Garamond" w:hAnsi="Garamond" w:cs="Helvetica"/>
          <w:sz w:val="24"/>
          <w:szCs w:val="24"/>
        </w:rPr>
      </w:pPr>
      <w:r w:rsidRPr="00872784">
        <w:rPr>
          <w:rFonts w:ascii="Garamond" w:hAnsi="Garamond" w:cs="Helvetica"/>
          <w:bCs/>
          <w:sz w:val="24"/>
          <w:szCs w:val="24"/>
        </w:rPr>
        <w:t xml:space="preserve">FoRS - Czech Forum for Development Cooperation is a national platform of Czech development </w:t>
      </w:r>
      <w:r w:rsidRPr="00872784">
        <w:rPr>
          <w:rFonts w:ascii="Garamond" w:hAnsi="Garamond" w:cs="Helvetica"/>
          <w:sz w:val="24"/>
          <w:szCs w:val="24"/>
        </w:rPr>
        <w:t xml:space="preserve">NGOs, academic institutions and faith-based organizations </w:t>
      </w:r>
      <w:r w:rsidRPr="00872784">
        <w:rPr>
          <w:rFonts w:ascii="Garamond" w:hAnsi="Garamond" w:cs="Helvetica"/>
          <w:bCs/>
          <w:sz w:val="24"/>
          <w:szCs w:val="24"/>
        </w:rPr>
        <w:t>involved in development cooperation, development education and humanitarian assistance. Established in 2002, FoRS represents over 50 members and observers vis-à-vis institutional stakeholders and provides capacity building, information service and expert consultancy to its members and partners, while further engaging in awareness-raising</w:t>
      </w:r>
      <w:r w:rsidRPr="00872784">
        <w:rPr>
          <w:rFonts w:ascii="Garamond" w:hAnsi="Garamond" w:cs="Helvetica"/>
          <w:sz w:val="24"/>
          <w:szCs w:val="24"/>
        </w:rPr>
        <w:t xml:space="preserve"> on development cooperation and sustainable development.</w:t>
      </w:r>
    </w:p>
    <w:p w:rsidR="0068201B" w:rsidRPr="00872784" w:rsidRDefault="0068201B">
      <w:pPr>
        <w:spacing w:line="240" w:lineRule="auto"/>
        <w:jc w:val="both"/>
        <w:rPr>
          <w:rFonts w:ascii="Garamond" w:hAnsi="Garamond" w:cs="Helvetica"/>
          <w:bCs/>
          <w:color w:val="FF0000"/>
          <w:sz w:val="24"/>
          <w:szCs w:val="24"/>
        </w:rPr>
      </w:pPr>
      <w:r w:rsidRPr="00872784">
        <w:rPr>
          <w:rFonts w:ascii="Garamond" w:hAnsi="Garamond" w:cs="Helvetica"/>
          <w:bCs/>
          <w:sz w:val="24"/>
          <w:szCs w:val="24"/>
        </w:rPr>
        <w:t>In 2003, FoRS became a founding member of CONCORD - the European NGO Confederation for Relief and Development. Since 2007</w:t>
      </w:r>
      <w:r w:rsidRPr="00872784">
        <w:rPr>
          <w:rFonts w:ascii="Garamond" w:hAnsi="Garamond" w:cs="Helvetica"/>
          <w:bCs/>
          <w:color w:val="FF0000"/>
          <w:sz w:val="24"/>
          <w:szCs w:val="24"/>
        </w:rPr>
        <w:t xml:space="preserve"> </w:t>
      </w:r>
      <w:r w:rsidRPr="00872784">
        <w:rPr>
          <w:rFonts w:ascii="Garamond" w:hAnsi="Garamond" w:cs="Helvetica"/>
          <w:bCs/>
          <w:sz w:val="24"/>
          <w:szCs w:val="24"/>
        </w:rPr>
        <w:t>it has been actively engaged in development effectiveness initiatives as a participant in the Global Facilitation Group</w:t>
      </w:r>
      <w:r w:rsidRPr="00872784" w:rsidDel="00EE740C">
        <w:rPr>
          <w:rFonts w:ascii="Garamond" w:hAnsi="Garamond" w:cs="Helvetica"/>
          <w:bCs/>
          <w:sz w:val="24"/>
          <w:szCs w:val="24"/>
        </w:rPr>
        <w:t xml:space="preserve"> </w:t>
      </w:r>
      <w:r>
        <w:rPr>
          <w:rFonts w:ascii="Garamond" w:hAnsi="Garamond" w:cs="Helvetica"/>
          <w:bCs/>
          <w:sz w:val="24"/>
          <w:szCs w:val="24"/>
        </w:rPr>
        <w:t>of</w:t>
      </w:r>
      <w:r w:rsidRPr="00872784">
        <w:rPr>
          <w:rFonts w:ascii="Garamond" w:hAnsi="Garamond" w:cs="Helvetica"/>
          <w:bCs/>
          <w:sz w:val="24"/>
          <w:szCs w:val="24"/>
        </w:rPr>
        <w:t xml:space="preserve"> the Open Forum for CSO Development Effectiveness, and through its engagement in the Global Council and working groups of the CSO Partnership for Development Effectiveness (CPDE).</w:t>
      </w:r>
    </w:p>
    <w:p w:rsidR="0068201B" w:rsidRPr="00872784" w:rsidRDefault="0068201B" w:rsidP="006D68BC">
      <w:pPr>
        <w:pStyle w:val="Heading1"/>
        <w:spacing w:before="0" w:beforeAutospacing="0" w:after="120" w:afterAutospacing="0"/>
        <w:jc w:val="both"/>
        <w:rPr>
          <w:rFonts w:ascii="Garamond" w:hAnsi="Garamond"/>
          <w:i/>
          <w:sz w:val="24"/>
          <w:szCs w:val="24"/>
          <w:lang w:val="en-GB"/>
        </w:rPr>
      </w:pPr>
      <w:r w:rsidRPr="00872784">
        <w:rPr>
          <w:rFonts w:ascii="Garamond" w:hAnsi="Garamond"/>
          <w:i/>
          <w:sz w:val="24"/>
          <w:szCs w:val="24"/>
          <w:lang w:val="en-GB"/>
        </w:rPr>
        <w:t>Acknowledgment</w:t>
      </w:r>
    </w:p>
    <w:p w:rsidR="0068201B" w:rsidRPr="00872784" w:rsidRDefault="0068201B" w:rsidP="009E7319">
      <w:pPr>
        <w:pStyle w:val="Heading1"/>
        <w:spacing w:before="0" w:beforeAutospacing="0" w:after="200" w:afterAutospacing="0"/>
        <w:jc w:val="both"/>
        <w:rPr>
          <w:rFonts w:ascii="Garamond" w:hAnsi="Garamond"/>
          <w:b w:val="0"/>
          <w:sz w:val="24"/>
          <w:szCs w:val="24"/>
          <w:lang w:val="en-GB"/>
        </w:rPr>
      </w:pPr>
      <w:r w:rsidRPr="00872784">
        <w:rPr>
          <w:rFonts w:ascii="Garamond" w:hAnsi="Garamond"/>
          <w:b w:val="0"/>
          <w:sz w:val="24"/>
          <w:szCs w:val="24"/>
          <w:lang w:val="en-GB"/>
        </w:rPr>
        <w:t>The report was prepared by Marie Zazvorkova (FoRS Secretariat) and Daniel Svoboda (Civic Association Development Worldwide, member of the FoRS Board). The authors acknowledge contributions from other members of FoRS and the Secretariat. The opinions presented in this report combine the personal views of the authors and inputs from previous FoRS documents and from other open sources of information.</w:t>
      </w:r>
    </w:p>
    <w:p w:rsidR="0068201B" w:rsidRPr="00872784" w:rsidRDefault="0068201B" w:rsidP="006D68BC">
      <w:pPr>
        <w:spacing w:after="120" w:line="240" w:lineRule="auto"/>
        <w:jc w:val="both"/>
        <w:rPr>
          <w:rFonts w:ascii="Garamond" w:hAnsi="Garamond" w:cs="Helvetica"/>
          <w:b/>
          <w:bCs/>
          <w:color w:val="FF0000"/>
          <w:sz w:val="24"/>
          <w:szCs w:val="24"/>
        </w:rPr>
      </w:pPr>
      <w:r w:rsidRPr="00872784">
        <w:rPr>
          <w:rFonts w:ascii="Garamond" w:hAnsi="Garamond" w:cs="Helvetica"/>
          <w:b/>
          <w:bCs/>
          <w:sz w:val="24"/>
          <w:szCs w:val="24"/>
        </w:rPr>
        <w:t>Acronyms and Abbreviation</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B2B</w:t>
      </w:r>
      <w:r w:rsidRPr="00872784">
        <w:rPr>
          <w:rFonts w:ascii="Garamond" w:hAnsi="Garamond" w:cs="Helvetica"/>
          <w:bCs/>
          <w:sz w:val="24"/>
          <w:szCs w:val="24"/>
        </w:rPr>
        <w:tab/>
        <w:t>Business to Business (program for private sector)</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CONCORD</w:t>
      </w:r>
      <w:r w:rsidRPr="00872784">
        <w:rPr>
          <w:rFonts w:ascii="Garamond" w:hAnsi="Garamond" w:cs="Helvetica"/>
          <w:bCs/>
          <w:sz w:val="24"/>
          <w:szCs w:val="24"/>
        </w:rPr>
        <w:tab/>
        <w:t>European NGO Confederation for Relief and Development</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CPDE</w:t>
      </w:r>
      <w:r w:rsidRPr="00872784">
        <w:rPr>
          <w:rFonts w:ascii="Garamond" w:hAnsi="Garamond" w:cs="Helvetica"/>
          <w:bCs/>
          <w:sz w:val="24"/>
          <w:szCs w:val="24"/>
        </w:rPr>
        <w:tab/>
        <w:t>CSO (Civil Society Organizations) Partnership for Development Effectiveness</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 xml:space="preserve">CSO </w:t>
      </w:r>
      <w:r w:rsidRPr="00872784">
        <w:rPr>
          <w:rFonts w:ascii="Garamond" w:hAnsi="Garamond" w:cs="Helvetica"/>
          <w:bCs/>
          <w:sz w:val="24"/>
          <w:szCs w:val="24"/>
        </w:rPr>
        <w:tab/>
        <w:t>Civil society organization</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 xml:space="preserve">CZDA </w:t>
      </w:r>
      <w:r w:rsidRPr="00872784">
        <w:rPr>
          <w:rFonts w:ascii="Garamond" w:hAnsi="Garamond" w:cs="Helvetica"/>
          <w:bCs/>
          <w:sz w:val="24"/>
          <w:szCs w:val="24"/>
        </w:rPr>
        <w:tab/>
        <w:t>Czech Development Agency</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DAC</w:t>
      </w:r>
      <w:r w:rsidRPr="00872784">
        <w:rPr>
          <w:rFonts w:ascii="Garamond" w:hAnsi="Garamond" w:cs="Helvetica"/>
          <w:bCs/>
          <w:sz w:val="24"/>
          <w:szCs w:val="24"/>
        </w:rPr>
        <w:tab/>
        <w:t>Development Assistance Committee</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DEMAS</w:t>
      </w:r>
      <w:r w:rsidRPr="00872784">
        <w:rPr>
          <w:rFonts w:ascii="Garamond" w:hAnsi="Garamond" w:cs="Helvetica"/>
          <w:bCs/>
          <w:sz w:val="24"/>
          <w:szCs w:val="24"/>
        </w:rPr>
        <w:tab/>
        <w:t>Association for Democracy Assistance and Human Rights</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EU</w:t>
      </w:r>
      <w:r w:rsidRPr="00872784">
        <w:rPr>
          <w:rFonts w:ascii="Garamond" w:hAnsi="Garamond" w:cs="Helvetica"/>
          <w:bCs/>
          <w:sz w:val="24"/>
          <w:szCs w:val="24"/>
        </w:rPr>
        <w:tab/>
        <w:t>European Union</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 xml:space="preserve">FoRS </w:t>
      </w:r>
      <w:r w:rsidRPr="00872784">
        <w:rPr>
          <w:rFonts w:ascii="Garamond" w:hAnsi="Garamond" w:cs="Helvetica"/>
          <w:bCs/>
          <w:sz w:val="24"/>
          <w:szCs w:val="24"/>
        </w:rPr>
        <w:tab/>
        <w:t>Czech Forum for Development Cooperation</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GNI</w:t>
      </w:r>
      <w:r w:rsidRPr="00872784">
        <w:rPr>
          <w:rFonts w:ascii="Garamond" w:hAnsi="Garamond" w:cs="Helvetica"/>
          <w:bCs/>
          <w:sz w:val="24"/>
          <w:szCs w:val="24"/>
        </w:rPr>
        <w:tab/>
        <w:t>Gross National Income</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IATI</w:t>
      </w:r>
      <w:r w:rsidRPr="00872784">
        <w:rPr>
          <w:rFonts w:ascii="Garamond" w:hAnsi="Garamond" w:cs="Helvetica"/>
          <w:bCs/>
          <w:sz w:val="24"/>
          <w:szCs w:val="24"/>
        </w:rPr>
        <w:tab/>
        <w:t>International Aid Transparency Initiative</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MDGs</w:t>
      </w:r>
      <w:r w:rsidRPr="00872784">
        <w:rPr>
          <w:rFonts w:ascii="Garamond" w:hAnsi="Garamond" w:cs="Helvetica"/>
          <w:bCs/>
          <w:sz w:val="24"/>
          <w:szCs w:val="24"/>
        </w:rPr>
        <w:tab/>
        <w:t>Millennium Development Goals</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 xml:space="preserve">MFA </w:t>
      </w:r>
      <w:r w:rsidRPr="00872784">
        <w:rPr>
          <w:rFonts w:ascii="Garamond" w:hAnsi="Garamond" w:cs="Helvetica"/>
          <w:bCs/>
          <w:sz w:val="24"/>
          <w:szCs w:val="24"/>
        </w:rPr>
        <w:tab/>
        <w:t>Ministry of Foreign Affairs</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 xml:space="preserve">NGO </w:t>
      </w:r>
      <w:r w:rsidRPr="00872784">
        <w:rPr>
          <w:rFonts w:ascii="Garamond" w:hAnsi="Garamond" w:cs="Helvetica"/>
          <w:bCs/>
          <w:sz w:val="24"/>
          <w:szCs w:val="24"/>
        </w:rPr>
        <w:tab/>
        <w:t>Non-governmental Organization</w:t>
      </w:r>
    </w:p>
    <w:p w:rsidR="0068201B" w:rsidRPr="00872784" w:rsidRDefault="0068201B" w:rsidP="006A6180">
      <w:pPr>
        <w:spacing w:after="80" w:line="240" w:lineRule="auto"/>
        <w:ind w:left="1701" w:hanging="1701"/>
        <w:rPr>
          <w:rFonts w:ascii="Garamond" w:hAnsi="Garamond" w:cs="Helvetica"/>
          <w:bCs/>
          <w:sz w:val="24"/>
          <w:szCs w:val="24"/>
        </w:rPr>
      </w:pPr>
      <w:r w:rsidRPr="00872784">
        <w:rPr>
          <w:rFonts w:ascii="Garamond" w:hAnsi="Garamond" w:cs="Helvetica"/>
          <w:bCs/>
          <w:sz w:val="24"/>
          <w:szCs w:val="24"/>
        </w:rPr>
        <w:t xml:space="preserve">ODA </w:t>
      </w:r>
      <w:r w:rsidRPr="00872784">
        <w:rPr>
          <w:rFonts w:ascii="Garamond" w:hAnsi="Garamond" w:cs="Helvetica"/>
          <w:bCs/>
          <w:sz w:val="24"/>
          <w:szCs w:val="24"/>
        </w:rPr>
        <w:tab/>
        <w:t>Official Development Assistance</w:t>
      </w:r>
      <w:r>
        <w:rPr>
          <w:rFonts w:ascii="Garamond" w:hAnsi="Garamond" w:cs="Helvetica"/>
          <w:bCs/>
          <w:sz w:val="24"/>
          <w:szCs w:val="24"/>
        </w:rPr>
        <w:t xml:space="preserve"> (International Development Cooperation in Czech terminology)</w:t>
      </w:r>
    </w:p>
    <w:p w:rsidR="0068201B" w:rsidRPr="00872784" w:rsidRDefault="0068201B" w:rsidP="00F3111E">
      <w:pPr>
        <w:spacing w:after="80" w:line="240" w:lineRule="auto"/>
        <w:ind w:left="1701" w:hanging="1701"/>
        <w:jc w:val="both"/>
        <w:rPr>
          <w:rFonts w:ascii="Garamond" w:hAnsi="Garamond" w:cs="Helvetica"/>
          <w:bCs/>
          <w:sz w:val="24"/>
          <w:szCs w:val="24"/>
        </w:rPr>
      </w:pPr>
      <w:r w:rsidRPr="00872784">
        <w:rPr>
          <w:rFonts w:ascii="Garamond" w:hAnsi="Garamond" w:cs="Helvetica"/>
          <w:bCs/>
          <w:sz w:val="24"/>
          <w:szCs w:val="24"/>
        </w:rPr>
        <w:t>OECD</w:t>
      </w:r>
      <w:r w:rsidRPr="00872784">
        <w:rPr>
          <w:rFonts w:ascii="Garamond" w:hAnsi="Garamond" w:cs="Helvetica"/>
          <w:bCs/>
          <w:sz w:val="24"/>
          <w:szCs w:val="24"/>
        </w:rPr>
        <w:tab/>
        <w:t>Organization for Economic Co-operation and Development</w:t>
      </w:r>
    </w:p>
    <w:p w:rsidR="0068201B" w:rsidRPr="00872784" w:rsidRDefault="0068201B" w:rsidP="00F3111E">
      <w:pPr>
        <w:spacing w:line="240" w:lineRule="auto"/>
        <w:ind w:left="1701" w:hanging="1701"/>
        <w:jc w:val="both"/>
        <w:rPr>
          <w:rFonts w:ascii="Garamond" w:hAnsi="Garamond"/>
          <w:sz w:val="24"/>
          <w:szCs w:val="24"/>
        </w:rPr>
      </w:pPr>
      <w:r w:rsidRPr="00872784">
        <w:rPr>
          <w:rFonts w:ascii="Garamond" w:hAnsi="Garamond" w:cs="Helvetica"/>
          <w:bCs/>
          <w:sz w:val="24"/>
          <w:szCs w:val="24"/>
        </w:rPr>
        <w:t>SDGs</w:t>
      </w:r>
      <w:r w:rsidRPr="00872784">
        <w:rPr>
          <w:rFonts w:ascii="Garamond" w:hAnsi="Garamond" w:cs="Helvetica"/>
          <w:bCs/>
          <w:sz w:val="24"/>
          <w:szCs w:val="24"/>
        </w:rPr>
        <w:tab/>
      </w:r>
      <w:r w:rsidRPr="00872784">
        <w:rPr>
          <w:rFonts w:ascii="Garamond" w:hAnsi="Garamond" w:cs="Calibri"/>
          <w:color w:val="000000"/>
          <w:sz w:val="24"/>
          <w:szCs w:val="24"/>
        </w:rPr>
        <w:t>Sustainable Development Goals</w:t>
      </w:r>
    </w:p>
    <w:p w:rsidR="0068201B" w:rsidRPr="00872784" w:rsidRDefault="0068201B" w:rsidP="000A33A2">
      <w:pPr>
        <w:spacing w:after="120" w:line="240" w:lineRule="auto"/>
        <w:jc w:val="both"/>
        <w:rPr>
          <w:rFonts w:ascii="Garamond" w:hAnsi="Garamond" w:cs="Helvetica"/>
          <w:b/>
          <w:bCs/>
          <w:sz w:val="24"/>
          <w:szCs w:val="24"/>
        </w:rPr>
      </w:pPr>
      <w:r w:rsidRPr="00872784">
        <w:rPr>
          <w:rFonts w:ascii="Garamond" w:hAnsi="Garamond" w:cs="Helvetica"/>
          <w:b/>
          <w:bCs/>
          <w:sz w:val="24"/>
          <w:szCs w:val="24"/>
        </w:rPr>
        <w:t>Summary</w:t>
      </w:r>
    </w:p>
    <w:p w:rsidR="0068201B" w:rsidRPr="00872784" w:rsidRDefault="0068201B" w:rsidP="001430A1">
      <w:pPr>
        <w:spacing w:after="120" w:line="240" w:lineRule="auto"/>
        <w:jc w:val="both"/>
        <w:rPr>
          <w:rFonts w:ascii="Garamond" w:hAnsi="Garamond" w:cs="Helvetica"/>
          <w:bCs/>
          <w:sz w:val="24"/>
          <w:szCs w:val="24"/>
        </w:rPr>
      </w:pPr>
      <w:r w:rsidRPr="00872784">
        <w:rPr>
          <w:rFonts w:ascii="Garamond" w:hAnsi="Garamond" w:cs="Helvetica"/>
          <w:bCs/>
          <w:sz w:val="24"/>
          <w:szCs w:val="24"/>
        </w:rPr>
        <w:t xml:space="preserve">The Czech Republic, a relatively small donor country and only a recent member of the Development Assistance Committee of the Organization for Economic Co-operation and Development (OECD DAC), accomplished a transformation of its </w:t>
      </w:r>
      <w:r>
        <w:rPr>
          <w:rFonts w:ascii="Garamond" w:hAnsi="Garamond" w:cs="Helvetica"/>
          <w:bCs/>
          <w:sz w:val="24"/>
          <w:szCs w:val="24"/>
        </w:rPr>
        <w:t>Official</w:t>
      </w:r>
      <w:r w:rsidRPr="00872784">
        <w:rPr>
          <w:rFonts w:ascii="Garamond" w:hAnsi="Garamond" w:cs="Helvetica"/>
          <w:bCs/>
          <w:sz w:val="24"/>
          <w:szCs w:val="24"/>
        </w:rPr>
        <w:t xml:space="preserve"> Development </w:t>
      </w:r>
      <w:r>
        <w:rPr>
          <w:rFonts w:ascii="Garamond" w:hAnsi="Garamond" w:cs="Helvetica"/>
          <w:bCs/>
          <w:sz w:val="24"/>
          <w:szCs w:val="24"/>
        </w:rPr>
        <w:t>Assistance</w:t>
      </w:r>
      <w:r w:rsidRPr="00872784">
        <w:rPr>
          <w:rFonts w:ascii="Garamond" w:hAnsi="Garamond" w:cs="Helvetica"/>
          <w:bCs/>
          <w:sz w:val="24"/>
          <w:szCs w:val="24"/>
        </w:rPr>
        <w:t xml:space="preserve"> system in 2012. Yet increased commitments on ODA quality and quantity have still to be met, and political support for ODA remains low. In addition, while official documents proclaim the eradication of poverty and inequality as an explicit priority of Czech ODA, the focus of ODA efforts is still </w:t>
      </w:r>
      <w:r>
        <w:rPr>
          <w:rFonts w:ascii="Garamond" w:hAnsi="Garamond" w:cs="Helvetica"/>
          <w:bCs/>
          <w:sz w:val="24"/>
          <w:szCs w:val="24"/>
        </w:rPr>
        <w:t>influenced by economic interests</w:t>
      </w:r>
      <w:r w:rsidRPr="00872784">
        <w:rPr>
          <w:rFonts w:ascii="Garamond" w:hAnsi="Garamond" w:cs="Helvetica"/>
          <w:bCs/>
          <w:sz w:val="24"/>
          <w:szCs w:val="24"/>
        </w:rPr>
        <w:t>.</w:t>
      </w:r>
    </w:p>
    <w:p w:rsidR="0068201B" w:rsidRPr="00872784" w:rsidRDefault="0068201B" w:rsidP="001430A1">
      <w:pPr>
        <w:spacing w:after="120" w:line="240" w:lineRule="auto"/>
        <w:jc w:val="both"/>
        <w:rPr>
          <w:rFonts w:ascii="Garamond" w:hAnsi="Garamond" w:cs="Helvetica"/>
          <w:bCs/>
          <w:sz w:val="24"/>
          <w:szCs w:val="24"/>
        </w:rPr>
      </w:pPr>
      <w:r w:rsidRPr="00872784">
        <w:rPr>
          <w:rFonts w:ascii="Garamond" w:hAnsi="Garamond" w:cs="Helvetica"/>
          <w:bCs/>
          <w:sz w:val="24"/>
          <w:szCs w:val="24"/>
        </w:rPr>
        <w:t>With regard to civil society participation, the Czech NGO platform FoRS – Czech Forum for Development Cooperation has become a respected partner of Czech institutions and other development stakeholders since its foundation in 2002. FoRS members participate in shaping ODA and related policies through monitoring as well as through direct engagement in strategic consultations. However, they also face funding constraints, some legal barriers (e.g. with this year’s new Civil Code), and internal constrains related to insufficient capacities and resources. While they advocate for the fulfilment of development commitments by the Czech government, they too have adopted their own Code on Effectiveness.</w:t>
      </w:r>
    </w:p>
    <w:p w:rsidR="0068201B" w:rsidRPr="00872784" w:rsidRDefault="0068201B" w:rsidP="00514892">
      <w:pPr>
        <w:spacing w:after="120" w:line="240" w:lineRule="auto"/>
        <w:jc w:val="both"/>
        <w:rPr>
          <w:rFonts w:ascii="Garamond" w:hAnsi="Garamond" w:cs="Calibri"/>
          <w:color w:val="000000"/>
          <w:sz w:val="24"/>
          <w:szCs w:val="24"/>
        </w:rPr>
      </w:pPr>
      <w:r w:rsidRPr="00872784">
        <w:rPr>
          <w:rFonts w:ascii="Garamond" w:hAnsi="Garamond" w:cs="Calibri"/>
          <w:color w:val="000000"/>
          <w:sz w:val="24"/>
          <w:szCs w:val="24"/>
        </w:rPr>
        <w:t xml:space="preserve">FoRS members participate in both </w:t>
      </w:r>
      <w:r w:rsidRPr="00872784">
        <w:rPr>
          <w:rFonts w:ascii="Garamond" w:hAnsi="Garamond" w:cs="Calibri"/>
          <w:sz w:val="24"/>
          <w:szCs w:val="24"/>
        </w:rPr>
        <w:t xml:space="preserve">inter-sectoral partnerships (with </w:t>
      </w:r>
      <w:r w:rsidRPr="00872784">
        <w:rPr>
          <w:rFonts w:ascii="Garamond" w:hAnsi="Garamond" w:cs="Calibri"/>
          <w:color w:val="000000"/>
          <w:sz w:val="24"/>
          <w:szCs w:val="24"/>
        </w:rPr>
        <w:t xml:space="preserve">entities from the public, non-governmental and private sectors) and cross-sectoral cooperation (among </w:t>
      </w:r>
      <w:r w:rsidRPr="00872784">
        <w:rPr>
          <w:rFonts w:ascii="Garamond" w:hAnsi="Garamond"/>
          <w:sz w:val="24"/>
          <w:szCs w:val="24"/>
        </w:rPr>
        <w:t>development, environmental and educational CSOs</w:t>
      </w:r>
      <w:r w:rsidRPr="00872784">
        <w:rPr>
          <w:rFonts w:ascii="Garamond" w:hAnsi="Garamond" w:cs="Calibri"/>
          <w:color w:val="000000"/>
          <w:sz w:val="24"/>
          <w:szCs w:val="24"/>
        </w:rPr>
        <w:t>), and consider these as key areas for effective development.</w:t>
      </w:r>
    </w:p>
    <w:p w:rsidR="0068201B" w:rsidRPr="00872784" w:rsidRDefault="0068201B" w:rsidP="009E7319">
      <w:pPr>
        <w:spacing w:line="240" w:lineRule="auto"/>
        <w:jc w:val="both"/>
        <w:rPr>
          <w:rFonts w:ascii="Garamond" w:hAnsi="Garamond" w:cs="Helvetica"/>
          <w:bCs/>
          <w:sz w:val="24"/>
          <w:szCs w:val="24"/>
        </w:rPr>
      </w:pPr>
      <w:r w:rsidRPr="00872784">
        <w:rPr>
          <w:rFonts w:ascii="Garamond" w:hAnsi="Garamond" w:cs="Calibri"/>
          <w:color w:val="000000"/>
          <w:sz w:val="24"/>
          <w:szCs w:val="24"/>
        </w:rPr>
        <w:t>Key issues related to Czech ODA, an enabling environment for CSOs, and CSO development effectiveness</w:t>
      </w:r>
      <w:r>
        <w:rPr>
          <w:rFonts w:ascii="Garamond" w:hAnsi="Garamond" w:cs="Calibri"/>
          <w:color w:val="000000"/>
          <w:sz w:val="24"/>
          <w:szCs w:val="24"/>
        </w:rPr>
        <w:t>,</w:t>
      </w:r>
      <w:r w:rsidRPr="00872784">
        <w:rPr>
          <w:rFonts w:ascii="Garamond" w:hAnsi="Garamond" w:cs="Calibri"/>
          <w:color w:val="000000"/>
          <w:sz w:val="24"/>
          <w:szCs w:val="24"/>
        </w:rPr>
        <w:t xml:space="preserve"> are reflected in this study.</w:t>
      </w:r>
    </w:p>
    <w:p w:rsidR="0068201B" w:rsidRPr="00872784" w:rsidRDefault="0068201B" w:rsidP="00343ED6">
      <w:pPr>
        <w:spacing w:after="120" w:line="240" w:lineRule="auto"/>
        <w:jc w:val="both"/>
        <w:rPr>
          <w:rFonts w:ascii="Garamond" w:hAnsi="Garamond" w:cs="Helvetica"/>
          <w:bCs/>
          <w:sz w:val="24"/>
          <w:szCs w:val="24"/>
        </w:rPr>
      </w:pPr>
      <w:r w:rsidRPr="00872784">
        <w:rPr>
          <w:rFonts w:ascii="Garamond" w:hAnsi="Garamond" w:cs="Helvetica"/>
          <w:b/>
          <w:bCs/>
          <w:sz w:val="24"/>
          <w:szCs w:val="24"/>
        </w:rPr>
        <w:t>Introduction</w:t>
      </w:r>
    </w:p>
    <w:p w:rsidR="0068201B" w:rsidRPr="00872784" w:rsidRDefault="0068201B" w:rsidP="00BE32B3">
      <w:pPr>
        <w:widowControl w:val="0"/>
        <w:spacing w:after="120" w:line="240" w:lineRule="auto"/>
        <w:jc w:val="both"/>
        <w:rPr>
          <w:rFonts w:ascii="Garamond" w:hAnsi="Garamond" w:cs="Helvetica"/>
          <w:bCs/>
          <w:sz w:val="24"/>
          <w:szCs w:val="24"/>
        </w:rPr>
      </w:pPr>
      <w:r w:rsidRPr="00872784">
        <w:rPr>
          <w:rFonts w:ascii="Garamond" w:hAnsi="Garamond" w:cs="Helvetica"/>
          <w:bCs/>
          <w:sz w:val="24"/>
          <w:szCs w:val="24"/>
        </w:rPr>
        <w:t>The position of the Czech Republic as a development actor on the international stage has changed fundamentally over the last 25 years. Formerly Czechoslovakia was a donor country in the “Eastern Block”. With the end of the Communist era, the Czech Republic as a transition country was, until quite recently (2006), an aid recipient. Today, the Czech Republic is once again a donor, being the 37</w:t>
      </w:r>
      <w:r w:rsidRPr="00872784">
        <w:rPr>
          <w:rFonts w:ascii="Garamond" w:hAnsi="Garamond" w:cs="Helvetica"/>
          <w:bCs/>
          <w:sz w:val="24"/>
          <w:szCs w:val="24"/>
          <w:vertAlign w:val="superscript"/>
        </w:rPr>
        <w:t>th</w:t>
      </w:r>
      <w:r w:rsidRPr="00872784">
        <w:rPr>
          <w:rFonts w:ascii="Garamond" w:hAnsi="Garamond" w:cs="Helvetica"/>
          <w:bCs/>
          <w:sz w:val="24"/>
          <w:szCs w:val="24"/>
        </w:rPr>
        <w:t xml:space="preserve"> richest country of the world</w:t>
      </w:r>
      <w:r w:rsidRPr="00872784">
        <w:rPr>
          <w:rStyle w:val="FootnoteReference"/>
          <w:rFonts w:ascii="Garamond" w:hAnsi="Garamond"/>
          <w:bCs/>
          <w:sz w:val="24"/>
          <w:szCs w:val="24"/>
        </w:rPr>
        <w:footnoteReference w:id="1"/>
      </w:r>
      <w:r w:rsidRPr="00872784">
        <w:rPr>
          <w:rFonts w:ascii="Garamond" w:hAnsi="Garamond" w:cs="Helvetica"/>
          <w:bCs/>
          <w:sz w:val="24"/>
          <w:szCs w:val="24"/>
        </w:rPr>
        <w:t xml:space="preserve"> and a member of the OECD DAC. The current system of Czech ODA was (re-)established after the Czech Republic joined OECD in 1995 as the first transition country of the Central and Eastern Europe region.</w:t>
      </w:r>
      <w:r w:rsidRPr="00872784">
        <w:rPr>
          <w:rStyle w:val="FootnoteReference"/>
          <w:rFonts w:ascii="Garamond" w:hAnsi="Garamond"/>
          <w:sz w:val="24"/>
          <w:szCs w:val="24"/>
        </w:rPr>
        <w:footnoteReference w:id="2"/>
      </w:r>
      <w:r w:rsidRPr="00872784">
        <w:rPr>
          <w:rFonts w:ascii="Garamond" w:hAnsi="Garamond"/>
          <w:sz w:val="24"/>
          <w:szCs w:val="24"/>
        </w:rPr>
        <w:t xml:space="preserve"> </w:t>
      </w:r>
      <w:r w:rsidRPr="00872784">
        <w:rPr>
          <w:rFonts w:ascii="Garamond" w:hAnsi="Garamond" w:cs="Helvetica"/>
          <w:bCs/>
          <w:sz w:val="24"/>
          <w:szCs w:val="24"/>
        </w:rPr>
        <w:t>The Czech Republic accepted its share of responsibility and demonstrated its interest in addressing global problems and sustainable eradication of poverty.</w:t>
      </w:r>
      <w:r w:rsidRPr="00872784">
        <w:rPr>
          <w:rFonts w:ascii="Garamond" w:hAnsi="Garamond" w:cs="Arial"/>
          <w:sz w:val="24"/>
          <w:szCs w:val="24"/>
        </w:rPr>
        <w:t xml:space="preserve"> The establishment of the Czech NGO platform FoRS in 2002 and the</w:t>
      </w:r>
      <w:r w:rsidRPr="00872784">
        <w:rPr>
          <w:rFonts w:ascii="Garamond" w:hAnsi="Garamond" w:cs="Helvetica"/>
          <w:bCs/>
          <w:sz w:val="24"/>
          <w:szCs w:val="24"/>
        </w:rPr>
        <w:t xml:space="preserve"> accession to the EU in 2004 reinforced the impetus for change in the development cooperation system.</w:t>
      </w:r>
    </w:p>
    <w:p w:rsidR="0068201B" w:rsidRPr="00872784" w:rsidRDefault="0068201B" w:rsidP="00BE32B3">
      <w:pPr>
        <w:widowControl w:val="0"/>
        <w:spacing w:after="120" w:line="240" w:lineRule="auto"/>
        <w:jc w:val="both"/>
        <w:rPr>
          <w:rFonts w:ascii="Garamond" w:hAnsi="Garamond" w:cs="Helvetica"/>
          <w:bCs/>
          <w:sz w:val="24"/>
          <w:szCs w:val="24"/>
        </w:rPr>
      </w:pPr>
      <w:r w:rsidRPr="00872784">
        <w:rPr>
          <w:rFonts w:ascii="Garamond" w:hAnsi="Garamond" w:cs="Helvetica"/>
          <w:bCs/>
          <w:sz w:val="24"/>
          <w:szCs w:val="24"/>
        </w:rPr>
        <w:t>In 2008, the Council for International Development Cooperation was established as a multi-stakeholder coordination and advisory body for the Minister of Foreign Affairs. In 2010, the Act on International Development Cooperation and Humanitarian Aid Provided Abroad was adopted, forming the ODA system transformation and establishing the Czech Development Agency (CZDA). In May 2013, the Czech Republic became a member of OECD DAC, which was declared big political success and a confirmation of positive progress.</w:t>
      </w:r>
      <w:r w:rsidRPr="00872784">
        <w:rPr>
          <w:rStyle w:val="FootnoteReference"/>
          <w:rFonts w:ascii="Garamond" w:hAnsi="Garamond"/>
          <w:bCs/>
          <w:sz w:val="24"/>
          <w:szCs w:val="24"/>
        </w:rPr>
        <w:footnoteReference w:id="3"/>
      </w:r>
      <w:r w:rsidRPr="00872784">
        <w:rPr>
          <w:rFonts w:ascii="Garamond" w:hAnsi="Garamond" w:cs="Helvetica"/>
          <w:bCs/>
          <w:sz w:val="24"/>
          <w:szCs w:val="24"/>
        </w:rPr>
        <w:t xml:space="preserve"> This increased the international prestige of the Czech Republic and strengthened its commitments to aid quality and transparency, including the commitment to increase the ODA budget</w:t>
      </w:r>
      <w:r>
        <w:rPr>
          <w:rFonts w:ascii="Garamond" w:hAnsi="Garamond" w:cs="Helvetica"/>
          <w:bCs/>
          <w:sz w:val="24"/>
          <w:szCs w:val="24"/>
        </w:rPr>
        <w:t>.</w:t>
      </w:r>
      <w:r w:rsidRPr="00872784">
        <w:rPr>
          <w:rStyle w:val="FootnoteReference"/>
          <w:rFonts w:ascii="Garamond" w:hAnsi="Garamond"/>
          <w:bCs/>
          <w:sz w:val="24"/>
          <w:szCs w:val="24"/>
        </w:rPr>
        <w:footnoteReference w:id="4"/>
      </w:r>
      <w:r w:rsidRPr="00872784">
        <w:rPr>
          <w:rFonts w:ascii="Garamond" w:hAnsi="Garamond" w:cs="Helvetica"/>
          <w:bCs/>
          <w:sz w:val="24"/>
          <w:szCs w:val="24"/>
        </w:rPr>
        <w:t xml:space="preserve"> These commitments, however, have not been fully met. Equally missing is a clear and binding commitment to policy coherence for development. The Czech contribution to the global development is far from perfect.</w:t>
      </w:r>
      <w:r w:rsidRPr="00872784">
        <w:rPr>
          <w:rStyle w:val="FootnoteReference"/>
          <w:rFonts w:ascii="Garamond" w:hAnsi="Garamond"/>
          <w:bCs/>
          <w:sz w:val="24"/>
          <w:szCs w:val="24"/>
        </w:rPr>
        <w:footnoteReference w:id="5"/>
      </w:r>
    </w:p>
    <w:p w:rsidR="0068201B" w:rsidRPr="00872784" w:rsidRDefault="0068201B" w:rsidP="00BE32B3">
      <w:pPr>
        <w:spacing w:after="120" w:line="240" w:lineRule="auto"/>
        <w:jc w:val="both"/>
        <w:rPr>
          <w:rFonts w:ascii="Garamond" w:hAnsi="Garamond" w:cs="Calibri"/>
          <w:sz w:val="24"/>
          <w:szCs w:val="24"/>
        </w:rPr>
      </w:pPr>
      <w:r w:rsidRPr="00872784">
        <w:rPr>
          <w:rFonts w:ascii="Garamond" w:hAnsi="Garamond" w:cs="Helvetica"/>
          <w:sz w:val="24"/>
          <w:szCs w:val="24"/>
        </w:rPr>
        <w:t xml:space="preserve">Development CSOs associated with FoRS are the main focus of this study. They represent an important part of Czech ODA efforts and are key development actors that play multiple roles: they implement projects; they are endowed with grassroots knowledge of problems and challenges in partner countries; they work as mediators and defenders of interest of vulnerable groups; and they participate in political discussions. FoRS aims to become a focal point for strengthening the roles of </w:t>
      </w:r>
      <w:r w:rsidRPr="003A68DA">
        <w:rPr>
          <w:rFonts w:ascii="Garamond" w:hAnsi="Garamond" w:cs="Helvetica"/>
          <w:sz w:val="24"/>
          <w:szCs w:val="24"/>
        </w:rPr>
        <w:t xml:space="preserve">development CSOs and enhancing their political recognition. These CSOs together aim at ensuring </w:t>
      </w:r>
      <w:r w:rsidRPr="00872784">
        <w:rPr>
          <w:rFonts w:ascii="Garamond" w:hAnsi="Garamond" w:cs="Helvetica"/>
          <w:sz w:val="24"/>
          <w:szCs w:val="24"/>
        </w:rPr>
        <w:t>that Czech ODA maintain</w:t>
      </w:r>
      <w:r>
        <w:rPr>
          <w:rFonts w:ascii="Garamond" w:hAnsi="Garamond" w:cs="Helvetica"/>
          <w:sz w:val="24"/>
          <w:szCs w:val="24"/>
        </w:rPr>
        <w:t>s</w:t>
      </w:r>
      <w:r w:rsidRPr="00872784">
        <w:rPr>
          <w:rFonts w:ascii="Garamond" w:hAnsi="Garamond" w:cs="Helvetica"/>
          <w:sz w:val="24"/>
          <w:szCs w:val="24"/>
        </w:rPr>
        <w:t xml:space="preserve"> the eradication of poverty and inequality as its core objective, and that ODA is not affected by narrow political and economic interests. However, resource and capacity constraints still limit the effectiveness of their joint efforts.</w:t>
      </w:r>
    </w:p>
    <w:p w:rsidR="0068201B" w:rsidRPr="00872784" w:rsidRDefault="0068201B" w:rsidP="00BE32B3">
      <w:pPr>
        <w:autoSpaceDE w:val="0"/>
        <w:autoSpaceDN w:val="0"/>
        <w:adjustRightInd w:val="0"/>
        <w:spacing w:line="240" w:lineRule="auto"/>
        <w:jc w:val="both"/>
        <w:rPr>
          <w:rFonts w:ascii="Garamond" w:hAnsi="Garamond" w:cs="Helvetica"/>
          <w:sz w:val="24"/>
          <w:szCs w:val="24"/>
        </w:rPr>
      </w:pPr>
      <w:r w:rsidRPr="00872784">
        <w:rPr>
          <w:rFonts w:ascii="Garamond" w:hAnsi="Garamond" w:cs="Helvetica"/>
          <w:sz w:val="24"/>
          <w:szCs w:val="24"/>
        </w:rPr>
        <w:t xml:space="preserve">There are two other CSO platforms working in related fields: DEMAS – Association for Democracy </w:t>
      </w:r>
      <w:r w:rsidRPr="003A68DA">
        <w:rPr>
          <w:rFonts w:ascii="Garamond" w:hAnsi="Garamond" w:cs="Helvetica"/>
          <w:sz w:val="24"/>
          <w:szCs w:val="24"/>
        </w:rPr>
        <w:t xml:space="preserve">Assistance and Human Rights founded in 2008 (currently composed of 13 CSOs), and Green Circle </w:t>
      </w:r>
      <w:r w:rsidRPr="00872784">
        <w:rPr>
          <w:rFonts w:ascii="Garamond" w:hAnsi="Garamond" w:cs="Helvetica"/>
          <w:sz w:val="24"/>
          <w:szCs w:val="24"/>
        </w:rPr>
        <w:t>founded in 1989 that brings together nearly 30 NGOs working mainly in the fields of environmental awareness and advocacy. Until recently, development CSOs worked with these platforms and their members rather on an ad hoc basis. In the context of the post-2015 processes, the cooperation on policy engagement</w:t>
      </w:r>
      <w:r>
        <w:rPr>
          <w:rFonts w:ascii="Garamond" w:hAnsi="Garamond" w:cs="Helvetica"/>
          <w:sz w:val="24"/>
          <w:szCs w:val="24"/>
        </w:rPr>
        <w:t xml:space="preserve"> and awareness raising</w:t>
      </w:r>
      <w:r w:rsidRPr="00872784">
        <w:rPr>
          <w:rFonts w:ascii="Garamond" w:hAnsi="Garamond" w:cs="Helvetica"/>
          <w:sz w:val="24"/>
          <w:szCs w:val="24"/>
        </w:rPr>
        <w:t xml:space="preserve"> has increased significantly.</w:t>
      </w:r>
    </w:p>
    <w:p w:rsidR="0068201B" w:rsidRPr="00872784" w:rsidRDefault="0068201B">
      <w:pPr>
        <w:pStyle w:val="ListParagraph"/>
        <w:numPr>
          <w:ilvl w:val="0"/>
          <w:numId w:val="1"/>
        </w:numPr>
        <w:spacing w:line="240" w:lineRule="auto"/>
        <w:ind w:left="360"/>
        <w:jc w:val="both"/>
        <w:rPr>
          <w:rFonts w:ascii="Garamond" w:hAnsi="Garamond" w:cs="Calibri"/>
          <w:sz w:val="24"/>
          <w:szCs w:val="24"/>
        </w:rPr>
      </w:pPr>
      <w:r w:rsidRPr="00872784">
        <w:rPr>
          <w:rFonts w:ascii="Garamond" w:hAnsi="Garamond" w:cs="Calibri"/>
          <w:b/>
          <w:i/>
          <w:sz w:val="24"/>
          <w:szCs w:val="24"/>
        </w:rPr>
        <w:t>The legal and regulatory framework</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Major international conventions on human rights, and other laws that concern civil society</w:t>
      </w:r>
    </w:p>
    <w:p w:rsidR="0068201B" w:rsidRPr="00872784" w:rsidRDefault="0068201B" w:rsidP="00BE32B3">
      <w:pPr>
        <w:spacing w:after="120" w:line="240" w:lineRule="auto"/>
        <w:jc w:val="both"/>
        <w:rPr>
          <w:rFonts w:ascii="Garamond" w:hAnsi="Garamond" w:cs="Calibri"/>
          <w:color w:val="000000"/>
          <w:sz w:val="24"/>
          <w:szCs w:val="24"/>
        </w:rPr>
      </w:pPr>
      <w:r w:rsidRPr="00872784">
        <w:rPr>
          <w:rFonts w:ascii="Garamond" w:hAnsi="Garamond" w:cs="Calibri"/>
          <w:color w:val="000000"/>
          <w:sz w:val="24"/>
          <w:szCs w:val="24"/>
        </w:rPr>
        <w:t>All fundamental CSO rights</w:t>
      </w:r>
      <w:r w:rsidRPr="00872784">
        <w:rPr>
          <w:rStyle w:val="FootnoteReference"/>
          <w:rFonts w:ascii="Garamond" w:hAnsi="Garamond"/>
          <w:color w:val="000000"/>
          <w:sz w:val="24"/>
          <w:szCs w:val="24"/>
        </w:rPr>
        <w:footnoteReference w:id="6"/>
      </w:r>
      <w:r w:rsidRPr="00872784">
        <w:rPr>
          <w:rFonts w:ascii="Garamond" w:hAnsi="Garamond" w:cs="Calibri"/>
          <w:color w:val="000000"/>
          <w:sz w:val="24"/>
          <w:szCs w:val="24"/>
        </w:rPr>
        <w:t xml:space="preserve"> are reflected in the Czech legal framework and mechanisms exist to implement them on the ground, including the right to information. However, in the field of ODA, there are significant financial constraints due to the modest ODA budget and to one-year funding schemes. Only in August 2014 the government issued a decree making multi-year grants possible – but this system will only be piloted in 2015.</w:t>
      </w:r>
    </w:p>
    <w:p w:rsidR="0068201B" w:rsidRPr="00872784" w:rsidRDefault="0068201B" w:rsidP="00BE32B3">
      <w:pPr>
        <w:spacing w:after="120" w:line="240" w:lineRule="auto"/>
        <w:jc w:val="both"/>
        <w:rPr>
          <w:rFonts w:ascii="Garamond" w:hAnsi="Garamond" w:cs="Calibri"/>
          <w:color w:val="000000"/>
          <w:sz w:val="24"/>
          <w:szCs w:val="24"/>
        </w:rPr>
      </w:pPr>
      <w:r w:rsidRPr="00872784">
        <w:rPr>
          <w:rFonts w:ascii="Garamond" w:hAnsi="Garamond" w:cs="Calibri"/>
          <w:color w:val="000000"/>
          <w:sz w:val="24"/>
          <w:szCs w:val="24"/>
        </w:rPr>
        <w:t>In addition, issues have been raised regarding the new Civil Code (in force since 1</w:t>
      </w:r>
      <w:r w:rsidRPr="00872784">
        <w:rPr>
          <w:rFonts w:ascii="Garamond" w:hAnsi="Garamond" w:cs="Calibri"/>
          <w:color w:val="000000"/>
          <w:sz w:val="24"/>
          <w:szCs w:val="24"/>
          <w:vertAlign w:val="superscript"/>
        </w:rPr>
        <w:t>st</w:t>
      </w:r>
      <w:r w:rsidRPr="00872784">
        <w:rPr>
          <w:rFonts w:ascii="Garamond" w:hAnsi="Garamond" w:cs="Calibri"/>
          <w:color w:val="000000"/>
          <w:sz w:val="24"/>
          <w:szCs w:val="24"/>
        </w:rPr>
        <w:t xml:space="preserve"> January 2014) which requires new registration and changes in the statutes of many non-governmental organizations.</w:t>
      </w:r>
    </w:p>
    <w:p w:rsidR="0068201B" w:rsidRPr="00872784" w:rsidRDefault="0068201B" w:rsidP="003E22B4">
      <w:pPr>
        <w:spacing w:line="240" w:lineRule="auto"/>
        <w:jc w:val="both"/>
        <w:rPr>
          <w:rFonts w:ascii="Garamond" w:hAnsi="Garamond" w:cs="Calibri"/>
          <w:color w:val="000000"/>
          <w:sz w:val="24"/>
          <w:szCs w:val="24"/>
        </w:rPr>
      </w:pPr>
      <w:r w:rsidRPr="00872784">
        <w:rPr>
          <w:rFonts w:ascii="Garamond" w:hAnsi="Garamond" w:cs="Calibri"/>
          <w:color w:val="000000"/>
          <w:sz w:val="24"/>
          <w:szCs w:val="24"/>
        </w:rPr>
        <w:t xml:space="preserve">The commitments made in the Accra Agenda for Action, the Busan Partnership, and other international agreements are still not fully reflected in the legal </w:t>
      </w:r>
      <w:r w:rsidRPr="00872784">
        <w:rPr>
          <w:rFonts w:ascii="Garamond" w:hAnsi="Garamond" w:cs="Calibri"/>
          <w:sz w:val="24"/>
          <w:szCs w:val="24"/>
        </w:rPr>
        <w:t xml:space="preserve">or policy frameworks </w:t>
      </w:r>
      <w:r w:rsidRPr="00872784">
        <w:rPr>
          <w:rFonts w:ascii="Garamond" w:hAnsi="Garamond" w:cs="Calibri"/>
          <w:color w:val="000000"/>
          <w:sz w:val="24"/>
          <w:szCs w:val="24"/>
        </w:rPr>
        <w:t>and there are no explicit road maps to fulfil these commitments. On the other hand, some operational mechanisms have already been adopted. For example, there is an ongoing policy dialogue between FoRS and the Ministry of Foreign Affairs (MFA), the commitments from the Paris Declaration are included in the ODA Strategy, a grant scheme on triangular cooperation was launched in 2004 (the Czech government promoted this form of cooperation in Accra), and the Declaration on Good Humanitarian Donorship was approved in 2006. More recent commitments from Busan (2011) and Mexico (2014) emphasize mainly support for private sector engagement in development.</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CSOs´ ability to follow the regulatory framework and to access and use information</w:t>
      </w:r>
    </w:p>
    <w:p w:rsidR="0068201B" w:rsidRPr="00872784" w:rsidRDefault="0068201B" w:rsidP="003E22B4">
      <w:pPr>
        <w:spacing w:after="120" w:line="240" w:lineRule="auto"/>
        <w:jc w:val="both"/>
        <w:rPr>
          <w:rFonts w:ascii="Garamond" w:hAnsi="Garamond" w:cs="Calibri"/>
          <w:b/>
          <w:color w:val="000000"/>
          <w:sz w:val="24"/>
          <w:szCs w:val="24"/>
        </w:rPr>
      </w:pPr>
      <w:r w:rsidRPr="00872784">
        <w:rPr>
          <w:rFonts w:ascii="Garamond" w:hAnsi="Garamond" w:cs="Calibri"/>
          <w:color w:val="000000"/>
          <w:sz w:val="24"/>
          <w:szCs w:val="24"/>
        </w:rPr>
        <w:t xml:space="preserve">CSOs are only partially able to navigate </w:t>
      </w:r>
      <w:r>
        <w:rPr>
          <w:rFonts w:ascii="Garamond" w:hAnsi="Garamond" w:cs="Calibri"/>
          <w:color w:val="000000"/>
          <w:sz w:val="24"/>
          <w:szCs w:val="24"/>
        </w:rPr>
        <w:t xml:space="preserve">in </w:t>
      </w:r>
      <w:r w:rsidRPr="00872784">
        <w:rPr>
          <w:rFonts w:ascii="Garamond" w:hAnsi="Garamond" w:cs="Calibri"/>
          <w:color w:val="000000"/>
          <w:sz w:val="24"/>
          <w:szCs w:val="24"/>
        </w:rPr>
        <w:t>the complexities of the Czech legal system. Reasonable - timely and cost-effective - access to legal services is missing, especially in light of the new Civil Code, which is too complex (3081 paragraphs). In addition, some implementing regulations to this law are still missing.</w:t>
      </w:r>
    </w:p>
    <w:p w:rsidR="0068201B" w:rsidRPr="00872784" w:rsidRDefault="0068201B" w:rsidP="009B35CA">
      <w:pPr>
        <w:spacing w:after="120" w:line="240" w:lineRule="auto"/>
        <w:jc w:val="both"/>
        <w:rPr>
          <w:rFonts w:ascii="Garamond" w:hAnsi="Garamond" w:cs="Calibri"/>
          <w:color w:val="000000"/>
          <w:sz w:val="24"/>
          <w:szCs w:val="24"/>
        </w:rPr>
      </w:pPr>
      <w:r w:rsidRPr="00872784">
        <w:rPr>
          <w:rFonts w:ascii="Garamond" w:hAnsi="Garamond" w:cs="Calibri"/>
          <w:color w:val="000000"/>
          <w:sz w:val="24"/>
          <w:szCs w:val="24"/>
        </w:rPr>
        <w:t xml:space="preserve">The Act on Free Access to Information was approved in 1999, and CSOs are technically able to access and use information essential to their work from governmental institutions, including </w:t>
      </w:r>
      <w:r w:rsidRPr="00872784">
        <w:rPr>
          <w:rFonts w:ascii="Garamond" w:hAnsi="Garamond" w:cs="Calibri"/>
          <w:bCs/>
          <w:color w:val="000000"/>
          <w:sz w:val="24"/>
          <w:szCs w:val="24"/>
        </w:rPr>
        <w:t>statistical data on financial flows according to the OECD DAC standards</w:t>
      </w:r>
      <w:r w:rsidRPr="00872784">
        <w:rPr>
          <w:rFonts w:ascii="Garamond" w:hAnsi="Garamond" w:cs="Calibri"/>
          <w:color w:val="000000"/>
          <w:sz w:val="24"/>
          <w:szCs w:val="24"/>
        </w:rPr>
        <w:t>. However, the available information is not sufficient and some data are provided only in a consolidated form, with no disaggregated information on crucial social indicators (e.g. per gender, diverse actors or target groups).</w:t>
      </w:r>
    </w:p>
    <w:p w:rsidR="0068201B" w:rsidRPr="00872784" w:rsidRDefault="0068201B" w:rsidP="009B35CA">
      <w:pPr>
        <w:spacing w:line="240" w:lineRule="auto"/>
        <w:jc w:val="both"/>
        <w:rPr>
          <w:rFonts w:ascii="Garamond" w:hAnsi="Garamond" w:cs="Calibri"/>
          <w:bCs/>
          <w:color w:val="000000"/>
          <w:sz w:val="24"/>
          <w:szCs w:val="24"/>
        </w:rPr>
      </w:pPr>
      <w:r w:rsidRPr="00872784">
        <w:rPr>
          <w:rFonts w:ascii="Garamond" w:hAnsi="Garamond" w:cs="Calibri"/>
          <w:bCs/>
          <w:color w:val="000000"/>
          <w:sz w:val="24"/>
          <w:szCs w:val="24"/>
        </w:rPr>
        <w:t xml:space="preserve">There is a need to improve publishing and accessibility of Czech ODA information. An important step is the foreseen accession to the International Aid Transparency Initiative (IATI) in 2015. An independent ODA monitoring initiative </w:t>
      </w:r>
      <w:r w:rsidRPr="00872784">
        <w:rPr>
          <w:rFonts w:ascii="Garamond" w:hAnsi="Garamond" w:cs="Calibri"/>
          <w:bCs/>
          <w:i/>
          <w:color w:val="000000"/>
          <w:sz w:val="24"/>
          <w:szCs w:val="24"/>
        </w:rPr>
        <w:t>Publish What You Fund</w:t>
      </w:r>
      <w:r w:rsidRPr="00872784">
        <w:rPr>
          <w:rFonts w:ascii="Garamond" w:hAnsi="Garamond" w:cs="Calibri"/>
          <w:bCs/>
          <w:color w:val="000000"/>
          <w:sz w:val="24"/>
          <w:szCs w:val="24"/>
        </w:rPr>
        <w:t xml:space="preserve"> assessed the transparency of Czech ODA as “poor” in both 2013 and 2014</w:t>
      </w:r>
      <w:r>
        <w:rPr>
          <w:rFonts w:ascii="Garamond" w:hAnsi="Garamond" w:cs="Calibri"/>
          <w:bCs/>
          <w:color w:val="000000"/>
          <w:sz w:val="24"/>
          <w:szCs w:val="24"/>
        </w:rPr>
        <w:t xml:space="preserve">. In 2014, </w:t>
      </w:r>
      <w:r w:rsidRPr="00872784">
        <w:rPr>
          <w:rFonts w:ascii="Garamond" w:hAnsi="Garamond" w:cs="Calibri"/>
          <w:bCs/>
          <w:color w:val="000000"/>
          <w:sz w:val="24"/>
          <w:szCs w:val="24"/>
        </w:rPr>
        <w:t>the Czech Republic f</w:t>
      </w:r>
      <w:r>
        <w:rPr>
          <w:rFonts w:ascii="Garamond" w:hAnsi="Garamond" w:cs="Calibri"/>
          <w:bCs/>
          <w:color w:val="000000"/>
          <w:sz w:val="24"/>
          <w:szCs w:val="24"/>
        </w:rPr>
        <w:t>e</w:t>
      </w:r>
      <w:r w:rsidRPr="00872784">
        <w:rPr>
          <w:rFonts w:ascii="Garamond" w:hAnsi="Garamond" w:cs="Calibri"/>
          <w:bCs/>
          <w:color w:val="000000"/>
          <w:sz w:val="24"/>
          <w:szCs w:val="24"/>
        </w:rPr>
        <w:t>ll from the 7</w:t>
      </w:r>
      <w:r w:rsidRPr="00872784">
        <w:rPr>
          <w:rFonts w:ascii="Garamond" w:hAnsi="Garamond" w:cs="Calibri"/>
          <w:bCs/>
          <w:color w:val="000000"/>
          <w:sz w:val="24"/>
          <w:szCs w:val="24"/>
          <w:vertAlign w:val="superscript"/>
        </w:rPr>
        <w:t>th</w:t>
      </w:r>
      <w:r w:rsidRPr="00872784">
        <w:rPr>
          <w:rFonts w:ascii="Garamond" w:hAnsi="Garamond" w:cs="Calibri"/>
          <w:bCs/>
          <w:color w:val="000000"/>
          <w:sz w:val="24"/>
          <w:szCs w:val="24"/>
        </w:rPr>
        <w:t xml:space="preserve"> to the 10</w:t>
      </w:r>
      <w:r w:rsidRPr="00872784">
        <w:rPr>
          <w:rFonts w:ascii="Garamond" w:hAnsi="Garamond" w:cs="Calibri"/>
          <w:bCs/>
          <w:color w:val="000000"/>
          <w:sz w:val="24"/>
          <w:szCs w:val="24"/>
          <w:vertAlign w:val="superscript"/>
        </w:rPr>
        <w:t>th</w:t>
      </w:r>
      <w:r w:rsidRPr="00872784">
        <w:rPr>
          <w:rFonts w:ascii="Garamond" w:hAnsi="Garamond" w:cs="Calibri"/>
          <w:bCs/>
          <w:color w:val="000000"/>
          <w:sz w:val="24"/>
          <w:szCs w:val="24"/>
        </w:rPr>
        <w:t xml:space="preserve"> place among the EU countries in terms of transparency. Nevertheless, the Czech Republic remains one of the most transparent donors among the “new” member states of the EU.</w:t>
      </w:r>
      <w:r w:rsidRPr="00872784">
        <w:rPr>
          <w:rStyle w:val="FootnoteReference"/>
          <w:rFonts w:ascii="Garamond" w:hAnsi="Garamond"/>
          <w:bCs/>
          <w:color w:val="000000"/>
          <w:sz w:val="24"/>
          <w:szCs w:val="24"/>
        </w:rPr>
        <w:footnoteReference w:id="7"/>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CSOs´ engagement in expert consultations on the legal system</w:t>
      </w:r>
    </w:p>
    <w:p w:rsidR="0068201B" w:rsidRPr="00872784" w:rsidRDefault="0068201B" w:rsidP="00BE32B3">
      <w:pPr>
        <w:spacing w:line="240" w:lineRule="auto"/>
        <w:jc w:val="both"/>
        <w:rPr>
          <w:rFonts w:ascii="Garamond" w:hAnsi="Garamond" w:cs="Calibri"/>
          <w:color w:val="000000"/>
          <w:sz w:val="24"/>
          <w:szCs w:val="24"/>
        </w:rPr>
      </w:pPr>
      <w:r w:rsidRPr="00872784">
        <w:rPr>
          <w:rFonts w:ascii="Garamond" w:hAnsi="Garamond" w:cs="Calibri"/>
          <w:color w:val="000000"/>
          <w:sz w:val="24"/>
          <w:szCs w:val="24"/>
        </w:rPr>
        <w:t>CSOs have limited capacity to engage in expert consultations on the legal system. In particular small organisations have limited capacity and expertise to study and comment on the country’s legal framework. FoRS endeavours to reduce these gaps by organizing special workshops and other information and capacity building events based on the needs of its members.</w:t>
      </w:r>
    </w:p>
    <w:p w:rsidR="0068201B" w:rsidRPr="00872784" w:rsidRDefault="0068201B" w:rsidP="0058502D">
      <w:pPr>
        <w:pStyle w:val="ListParagraph"/>
        <w:numPr>
          <w:ilvl w:val="0"/>
          <w:numId w:val="1"/>
        </w:numPr>
        <w:spacing w:line="240" w:lineRule="auto"/>
        <w:ind w:left="360"/>
        <w:jc w:val="both"/>
        <w:rPr>
          <w:rFonts w:ascii="Garamond" w:hAnsi="Garamond" w:cs="Calibri"/>
          <w:b/>
          <w:i/>
          <w:sz w:val="24"/>
          <w:szCs w:val="24"/>
        </w:rPr>
      </w:pPr>
      <w:r w:rsidRPr="00872784">
        <w:rPr>
          <w:rFonts w:ascii="Garamond" w:hAnsi="Garamond" w:cs="Calibri"/>
          <w:b/>
          <w:i/>
          <w:sz w:val="24"/>
          <w:szCs w:val="24"/>
        </w:rPr>
        <w:t>The political environment</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Democratic institutions and recognition of CSOs</w:t>
      </w:r>
    </w:p>
    <w:p w:rsidR="0068201B" w:rsidRPr="00872784" w:rsidRDefault="0068201B" w:rsidP="00BE32B3">
      <w:pPr>
        <w:spacing w:after="120" w:line="240" w:lineRule="auto"/>
        <w:jc w:val="both"/>
        <w:rPr>
          <w:rFonts w:ascii="Garamond" w:hAnsi="Garamond" w:cs="Calibri"/>
          <w:color w:val="000000"/>
          <w:sz w:val="24"/>
          <w:szCs w:val="24"/>
        </w:rPr>
      </w:pPr>
      <w:r w:rsidRPr="00872784">
        <w:rPr>
          <w:rFonts w:ascii="Garamond" w:hAnsi="Garamond" w:cs="Calibri"/>
          <w:color w:val="000000"/>
          <w:sz w:val="24"/>
          <w:szCs w:val="24"/>
        </w:rPr>
        <w:t xml:space="preserve">The </w:t>
      </w:r>
      <w:r>
        <w:rPr>
          <w:rFonts w:ascii="Garamond" w:hAnsi="Garamond" w:cs="Calibri"/>
          <w:color w:val="000000"/>
          <w:sz w:val="24"/>
          <w:szCs w:val="24"/>
        </w:rPr>
        <w:t xml:space="preserve">accomplished </w:t>
      </w:r>
      <w:r w:rsidRPr="00872784">
        <w:rPr>
          <w:rFonts w:ascii="Garamond" w:hAnsi="Garamond" w:cs="Calibri"/>
          <w:color w:val="000000"/>
          <w:sz w:val="24"/>
          <w:szCs w:val="24"/>
        </w:rPr>
        <w:t>transformation of the Czech ODA system in 2012 concentrated responsibilities and ODA budgetary mechanisms under the MFA. The Act on Development Cooperation and Humanitarian Aid defines eradication of poverty as the main goal, and identifies roles and responsibilities of different state actors. The Development Cooperation Strategy of the Czech Republic 2010-2017 is a programme framework which concretizes the objectives and principles of Czech ODA, geographical and sector priorities, and modalities.</w:t>
      </w:r>
      <w:r w:rsidRPr="00872784">
        <w:rPr>
          <w:rStyle w:val="FootnoteReference"/>
          <w:rFonts w:ascii="Garamond" w:hAnsi="Garamond"/>
          <w:color w:val="000000"/>
          <w:sz w:val="24"/>
          <w:szCs w:val="24"/>
        </w:rPr>
        <w:footnoteReference w:id="8"/>
      </w:r>
      <w:r w:rsidRPr="00872784">
        <w:rPr>
          <w:rFonts w:ascii="Garamond" w:hAnsi="Garamond" w:cs="Calibri"/>
          <w:color w:val="000000"/>
          <w:sz w:val="24"/>
          <w:szCs w:val="24"/>
        </w:rPr>
        <w:t xml:space="preserve"> The organizational setting and division of competencies between the MFA and the implementing body CZDA seems to be relatively effective, providing better planning and coordination.</w:t>
      </w:r>
    </w:p>
    <w:p w:rsidR="0068201B" w:rsidRPr="00872784" w:rsidRDefault="0068201B" w:rsidP="00F22453">
      <w:pPr>
        <w:autoSpaceDE w:val="0"/>
        <w:autoSpaceDN w:val="0"/>
        <w:adjustRightInd w:val="0"/>
        <w:spacing w:line="240" w:lineRule="auto"/>
        <w:jc w:val="both"/>
        <w:rPr>
          <w:rFonts w:ascii="Garamond" w:hAnsi="Garamond" w:cs="Calibri"/>
          <w:color w:val="000000"/>
          <w:sz w:val="24"/>
          <w:szCs w:val="24"/>
        </w:rPr>
      </w:pPr>
      <w:r w:rsidRPr="00872784">
        <w:rPr>
          <w:rFonts w:ascii="Garamond" w:hAnsi="Garamond" w:cs="Calibri"/>
          <w:color w:val="000000"/>
          <w:sz w:val="24"/>
          <w:szCs w:val="24"/>
        </w:rPr>
        <w:t xml:space="preserve">FoRS is a respected partner for state institutions and participates in consultations on strategic issues such as the Development Cooperation Strategy and its mid-term revision or </w:t>
      </w:r>
      <w:r>
        <w:rPr>
          <w:rFonts w:ascii="Garamond" w:hAnsi="Garamond" w:cs="Calibri"/>
          <w:color w:val="000000"/>
          <w:sz w:val="24"/>
          <w:szCs w:val="24"/>
        </w:rPr>
        <w:t xml:space="preserve">on </w:t>
      </w:r>
      <w:r w:rsidRPr="00872784">
        <w:rPr>
          <w:rFonts w:ascii="Garamond" w:hAnsi="Garamond" w:cs="Calibri"/>
          <w:color w:val="000000"/>
          <w:sz w:val="24"/>
          <w:szCs w:val="24"/>
        </w:rPr>
        <w:t>modalities of cooperation with the private sector. FoRS, together with the Platform of Entrepreneurs for International Development Cooperation</w:t>
      </w:r>
      <w:r w:rsidRPr="00872784">
        <w:rPr>
          <w:rStyle w:val="FootnoteReference"/>
          <w:rFonts w:ascii="Garamond" w:hAnsi="Garamond"/>
          <w:sz w:val="24"/>
          <w:szCs w:val="24"/>
        </w:rPr>
        <w:footnoteReference w:id="9"/>
      </w:r>
      <w:r w:rsidRPr="00872784">
        <w:rPr>
          <w:rFonts w:ascii="Garamond" w:hAnsi="Garamond" w:cs="Calibri"/>
          <w:color w:val="000000"/>
          <w:sz w:val="24"/>
          <w:szCs w:val="24"/>
        </w:rPr>
        <w:t xml:space="preserve">, has an observer status in the Council </w:t>
      </w:r>
      <w:r w:rsidRPr="00872784">
        <w:rPr>
          <w:rFonts w:ascii="Garamond" w:hAnsi="Garamond" w:cs="Helvetica"/>
          <w:bCs/>
          <w:sz w:val="24"/>
          <w:szCs w:val="24"/>
        </w:rPr>
        <w:t>for International Development Cooperation</w:t>
      </w:r>
      <w:r w:rsidRPr="00872784">
        <w:rPr>
          <w:rFonts w:ascii="Garamond" w:hAnsi="Garamond" w:cs="Calibri"/>
          <w:color w:val="000000"/>
          <w:sz w:val="24"/>
          <w:szCs w:val="24"/>
        </w:rPr>
        <w:t>. FoRS is also represented in several working groups of the Council, for example in the working group on evaluations.</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CSOs´ participation in policy formulation and development initiatives</w:t>
      </w:r>
    </w:p>
    <w:p w:rsidR="0068201B" w:rsidRPr="00872784" w:rsidRDefault="0068201B" w:rsidP="00BE32B3">
      <w:pPr>
        <w:spacing w:after="120" w:line="240" w:lineRule="auto"/>
        <w:jc w:val="both"/>
        <w:rPr>
          <w:rFonts w:ascii="Garamond" w:hAnsi="Garamond" w:cs="Calibri"/>
          <w:color w:val="000000"/>
          <w:sz w:val="24"/>
          <w:szCs w:val="24"/>
        </w:rPr>
      </w:pPr>
      <w:r w:rsidRPr="00872784">
        <w:rPr>
          <w:rFonts w:ascii="Garamond" w:hAnsi="Garamond" w:cs="Calibri"/>
          <w:color w:val="000000"/>
          <w:sz w:val="24"/>
          <w:szCs w:val="24"/>
        </w:rPr>
        <w:t>Only a few political leaders advance development cooperation policies and practices that address the structural causes of poverty and inequality. The current approach focuses more on economic growth and pro-export policies. ODA now belongs under the responsibility of the Economic Section of the MFA, and commercial tie-ups have been strengthened. Besides bilateral projects implemented by private companies, a new programme of development/economic partnership (“B2B” Business-to-Business) has been piloted since 2013</w:t>
      </w:r>
      <w:r>
        <w:rPr>
          <w:rFonts w:ascii="Garamond" w:hAnsi="Garamond" w:cs="Calibri"/>
          <w:color w:val="000000"/>
          <w:sz w:val="24"/>
          <w:szCs w:val="24"/>
        </w:rPr>
        <w:t>.</w:t>
      </w:r>
      <w:r w:rsidRPr="00872784">
        <w:rPr>
          <w:rStyle w:val="FootnoteReference"/>
          <w:rFonts w:ascii="Garamond" w:hAnsi="Garamond"/>
          <w:color w:val="000000"/>
          <w:sz w:val="24"/>
          <w:szCs w:val="24"/>
        </w:rPr>
        <w:footnoteReference w:id="10"/>
      </w:r>
      <w:r w:rsidRPr="00872784">
        <w:rPr>
          <w:rFonts w:ascii="Garamond" w:hAnsi="Garamond" w:cs="Calibri"/>
          <w:color w:val="000000"/>
          <w:sz w:val="24"/>
          <w:szCs w:val="24"/>
        </w:rPr>
        <w:t xml:space="preserve"> New tools supporting private sector engagement including its cooperation with other actors are in the pipeline and CSOs are engaged in these discussions.</w:t>
      </w:r>
    </w:p>
    <w:p w:rsidR="0068201B" w:rsidRPr="00872784" w:rsidRDefault="0068201B" w:rsidP="003F5C02">
      <w:pPr>
        <w:spacing w:after="120" w:line="240" w:lineRule="auto"/>
        <w:jc w:val="both"/>
        <w:rPr>
          <w:rFonts w:ascii="Garamond" w:hAnsi="Garamond" w:cs="Calibri"/>
          <w:sz w:val="24"/>
          <w:szCs w:val="24"/>
        </w:rPr>
      </w:pPr>
      <w:r w:rsidRPr="00872784">
        <w:rPr>
          <w:rFonts w:ascii="Garamond" w:hAnsi="Garamond" w:cs="Arial"/>
          <w:sz w:val="24"/>
          <w:szCs w:val="24"/>
        </w:rPr>
        <w:t>FoRS monitors Czech ODA and provides recommendations for its improvement.</w:t>
      </w:r>
      <w:r>
        <w:rPr>
          <w:rFonts w:ascii="Garamond" w:hAnsi="Garamond" w:cs="Arial"/>
          <w:sz w:val="24"/>
          <w:szCs w:val="24"/>
        </w:rPr>
        <w:t xml:space="preserve"> Some recommendations related to the Czech ODA Strategy or to project cycle management are already reflected in policy documents and operational procedures.</w:t>
      </w:r>
      <w:r w:rsidRPr="00872784">
        <w:rPr>
          <w:rFonts w:ascii="Garamond" w:hAnsi="Garamond" w:cs="Arial"/>
          <w:sz w:val="24"/>
          <w:szCs w:val="24"/>
        </w:rPr>
        <w:t xml:space="preserve"> Since 2008, FoRS regularly publishes a “Czech AidWatch report”, evaluating the Czech ODA in the past year with the aim of spurring discussion with other actors.</w:t>
      </w:r>
      <w:r w:rsidRPr="00872784">
        <w:rPr>
          <w:rStyle w:val="FootnoteReference"/>
          <w:rFonts w:ascii="Garamond" w:hAnsi="Garamond"/>
          <w:sz w:val="24"/>
          <w:szCs w:val="24"/>
        </w:rPr>
        <w:footnoteReference w:id="11"/>
      </w:r>
      <w:r w:rsidRPr="00872784">
        <w:rPr>
          <w:rFonts w:ascii="Garamond" w:hAnsi="Garamond" w:cs="Arial"/>
          <w:sz w:val="24"/>
          <w:szCs w:val="24"/>
        </w:rPr>
        <w:t xml:space="preserve"> With regard to the private sector, </w:t>
      </w:r>
      <w:r w:rsidRPr="00872784">
        <w:rPr>
          <w:rFonts w:ascii="Garamond" w:hAnsi="Garamond" w:cs="Calibri"/>
          <w:sz w:val="24"/>
          <w:szCs w:val="24"/>
        </w:rPr>
        <w:t>FoRS acknowledges its role in development as a potential source of job opportunities, income (incl. taxes) generation, new investments, knowledge transfer, and capacity building.</w:t>
      </w:r>
      <w:r w:rsidRPr="00872784">
        <w:rPr>
          <w:rFonts w:ascii="Garamond" w:hAnsi="Garamond" w:cs="Calibri"/>
          <w:color w:val="000000"/>
          <w:sz w:val="24"/>
          <w:szCs w:val="24"/>
        </w:rPr>
        <w:t xml:space="preserve"> However, FoRS </w:t>
      </w:r>
      <w:r w:rsidRPr="00872784">
        <w:rPr>
          <w:rFonts w:ascii="Garamond" w:hAnsi="Garamond" w:cs="Calibri"/>
          <w:sz w:val="24"/>
          <w:szCs w:val="24"/>
        </w:rPr>
        <w:t>affirms that economic interests should be promoted by different tools</w:t>
      </w:r>
      <w:r>
        <w:rPr>
          <w:rFonts w:ascii="Garamond" w:hAnsi="Garamond" w:cs="Calibri"/>
          <w:sz w:val="24"/>
          <w:szCs w:val="24"/>
        </w:rPr>
        <w:t xml:space="preserve"> than ODA</w:t>
      </w:r>
      <w:r w:rsidRPr="00872784">
        <w:rPr>
          <w:rFonts w:ascii="Garamond" w:hAnsi="Garamond" w:cs="Calibri"/>
          <w:color w:val="000000"/>
          <w:sz w:val="24"/>
          <w:szCs w:val="24"/>
        </w:rPr>
        <w:t xml:space="preserve">. The </w:t>
      </w:r>
      <w:r w:rsidRPr="00872784">
        <w:rPr>
          <w:rFonts w:ascii="Garamond" w:hAnsi="Garamond" w:cs="Calibri"/>
          <w:sz w:val="24"/>
          <w:szCs w:val="24"/>
        </w:rPr>
        <w:t>primary goals of ODA should be poverty and inequality eradication. These goals cannot be met by economic growth alone.</w:t>
      </w:r>
      <w:r w:rsidRPr="00872784">
        <w:rPr>
          <w:rFonts w:ascii="Garamond" w:hAnsi="Garamond" w:cs="Calibri"/>
          <w:color w:val="000000"/>
          <w:sz w:val="24"/>
          <w:szCs w:val="24"/>
        </w:rPr>
        <w:t xml:space="preserve"> In that regard, all development cooperation initiatives, including </w:t>
      </w:r>
      <w:r>
        <w:rPr>
          <w:rFonts w:ascii="Garamond" w:hAnsi="Garamond" w:cs="Calibri"/>
          <w:color w:val="000000"/>
          <w:sz w:val="24"/>
          <w:szCs w:val="24"/>
        </w:rPr>
        <w:t>f</w:t>
      </w:r>
      <w:r w:rsidRPr="00872784">
        <w:rPr>
          <w:rFonts w:ascii="Garamond" w:hAnsi="Garamond" w:cs="Calibri"/>
          <w:color w:val="000000"/>
          <w:sz w:val="24"/>
          <w:szCs w:val="24"/>
        </w:rPr>
        <w:t>oreign investments and commerce-related policies, must not impact negatively on the rights of people on the receiving end of ODA</w:t>
      </w:r>
      <w:r>
        <w:rPr>
          <w:rFonts w:ascii="Garamond" w:hAnsi="Garamond" w:cs="Calibri"/>
          <w:color w:val="000000"/>
          <w:sz w:val="24"/>
          <w:szCs w:val="24"/>
        </w:rPr>
        <w:t>.</w:t>
      </w:r>
      <w:r w:rsidRPr="00872784">
        <w:rPr>
          <w:rStyle w:val="FootnoteReference"/>
          <w:rFonts w:ascii="Garamond" w:hAnsi="Garamond"/>
          <w:color w:val="000000"/>
          <w:sz w:val="24"/>
          <w:szCs w:val="24"/>
        </w:rPr>
        <w:footnoteReference w:id="12"/>
      </w:r>
      <w:r w:rsidRPr="00872784">
        <w:rPr>
          <w:rFonts w:ascii="Garamond" w:hAnsi="Garamond" w:cs="Calibri"/>
          <w:color w:val="000000"/>
          <w:sz w:val="24"/>
          <w:szCs w:val="24"/>
        </w:rPr>
        <w:t xml:space="preserve"> T</w:t>
      </w:r>
      <w:r w:rsidRPr="00872784">
        <w:rPr>
          <w:rFonts w:ascii="Garamond" w:hAnsi="Garamond" w:cs="Calibri"/>
          <w:sz w:val="24"/>
          <w:szCs w:val="24"/>
        </w:rPr>
        <w:t>he engagement of the private sector, as well as of other development actors, must follow the cross-cutting ODA principles (good governance, respect for the environment and the climate, and respect for human rights including gender equality) and the principles of development effectiveness (ownership, transparency,</w:t>
      </w:r>
      <w:r>
        <w:rPr>
          <w:rFonts w:ascii="Garamond" w:hAnsi="Garamond" w:cs="Calibri"/>
          <w:sz w:val="24"/>
          <w:szCs w:val="24"/>
        </w:rPr>
        <w:t xml:space="preserve"> and</w:t>
      </w:r>
      <w:r w:rsidRPr="00872784">
        <w:rPr>
          <w:rFonts w:ascii="Garamond" w:hAnsi="Garamond" w:cs="Calibri"/>
          <w:sz w:val="24"/>
          <w:szCs w:val="24"/>
        </w:rPr>
        <w:t xml:space="preserve"> shared responsibility for results).</w:t>
      </w:r>
    </w:p>
    <w:p w:rsidR="0068201B" w:rsidRPr="00872784" w:rsidRDefault="0068201B" w:rsidP="00A31769">
      <w:pPr>
        <w:spacing w:after="120" w:line="240" w:lineRule="auto"/>
        <w:jc w:val="both"/>
        <w:rPr>
          <w:rFonts w:ascii="Garamond" w:hAnsi="Garamond" w:cs="Calibri"/>
          <w:sz w:val="24"/>
          <w:szCs w:val="24"/>
        </w:rPr>
      </w:pPr>
      <w:r w:rsidRPr="00872784">
        <w:rPr>
          <w:rFonts w:ascii="Garamond" w:hAnsi="Garamond" w:cs="Calibri"/>
          <w:sz w:val="24"/>
          <w:szCs w:val="24"/>
        </w:rPr>
        <w:t xml:space="preserve">Consultations between CSOs and government representatives on key policy issues pertaining to ODA continue both on a formalized and on an ad hoc basis. For instance, FoRS created </w:t>
      </w:r>
      <w:r w:rsidRPr="00872784">
        <w:rPr>
          <w:rFonts w:ascii="Garamond" w:hAnsi="Garamond" w:cs="Calibri"/>
          <w:color w:val="000000"/>
          <w:sz w:val="24"/>
          <w:szCs w:val="24"/>
        </w:rPr>
        <w:t>ad hoc geographical working groups during the mid-term revision of the Czech ODA Strategy</w:t>
      </w:r>
      <w:r w:rsidRPr="00872784">
        <w:rPr>
          <w:rFonts w:ascii="Garamond" w:hAnsi="Garamond" w:cs="Calibri"/>
          <w:sz w:val="24"/>
          <w:szCs w:val="24"/>
        </w:rPr>
        <w:t>. However, the impacts of these consultations have</w:t>
      </w:r>
      <w:r>
        <w:rPr>
          <w:rFonts w:ascii="Garamond" w:hAnsi="Garamond" w:cs="Calibri"/>
          <w:sz w:val="24"/>
          <w:szCs w:val="24"/>
        </w:rPr>
        <w:t xml:space="preserve"> still</w:t>
      </w:r>
      <w:r w:rsidRPr="00872784">
        <w:rPr>
          <w:rFonts w:ascii="Garamond" w:hAnsi="Garamond" w:cs="Calibri"/>
          <w:sz w:val="24"/>
          <w:szCs w:val="24"/>
        </w:rPr>
        <w:t xml:space="preserve"> been limited –</w:t>
      </w:r>
      <w:r>
        <w:rPr>
          <w:rFonts w:ascii="Garamond" w:hAnsi="Garamond" w:cs="Calibri"/>
          <w:sz w:val="24"/>
          <w:szCs w:val="24"/>
        </w:rPr>
        <w:t xml:space="preserve"> </w:t>
      </w:r>
      <w:r w:rsidRPr="00872784">
        <w:rPr>
          <w:rFonts w:ascii="Garamond" w:hAnsi="Garamond" w:cs="Calibri"/>
          <w:sz w:val="24"/>
          <w:szCs w:val="24"/>
        </w:rPr>
        <w:t>priorities are politically driven and there is limited space for CSOs´ right of initiative</w:t>
      </w:r>
      <w:r>
        <w:rPr>
          <w:rFonts w:ascii="Garamond" w:hAnsi="Garamond" w:cs="Calibri"/>
          <w:sz w:val="24"/>
          <w:szCs w:val="24"/>
        </w:rPr>
        <w:t xml:space="preserve">. For example, the grants for bilateral or triangular cooperation can be provided only for the projects </w:t>
      </w:r>
      <w:r w:rsidRPr="00872784">
        <w:rPr>
          <w:rFonts w:ascii="Garamond" w:hAnsi="Garamond" w:cs="Calibri"/>
          <w:sz w:val="24"/>
          <w:szCs w:val="24"/>
        </w:rPr>
        <w:t xml:space="preserve">in </w:t>
      </w:r>
      <w:r>
        <w:rPr>
          <w:rFonts w:ascii="Garamond" w:hAnsi="Garamond" w:cs="Calibri"/>
          <w:sz w:val="24"/>
          <w:szCs w:val="24"/>
        </w:rPr>
        <w:t xml:space="preserve">several priority </w:t>
      </w:r>
      <w:r w:rsidRPr="00872784">
        <w:rPr>
          <w:rFonts w:ascii="Garamond" w:hAnsi="Garamond" w:cs="Calibri"/>
          <w:sz w:val="24"/>
          <w:szCs w:val="24"/>
        </w:rPr>
        <w:t>countries or sectors set by the government. The effects of open dialogue are also limited due to generally low political support for ODA and due to low decision making power of civil servants engaged in these debates. It is therefore necessary to set more effective cooperation mechanisms with parliamentarians and with other ministries.</w:t>
      </w:r>
    </w:p>
    <w:p w:rsidR="0068201B" w:rsidRPr="00872784" w:rsidRDefault="0068201B" w:rsidP="00A31769">
      <w:pPr>
        <w:spacing w:line="240" w:lineRule="auto"/>
        <w:jc w:val="both"/>
        <w:rPr>
          <w:rFonts w:ascii="Garamond" w:hAnsi="Garamond" w:cs="Arial"/>
          <w:sz w:val="24"/>
          <w:szCs w:val="24"/>
        </w:rPr>
      </w:pPr>
      <w:r w:rsidRPr="00872784">
        <w:rPr>
          <w:rFonts w:ascii="Garamond" w:hAnsi="Garamond" w:cs="Arial"/>
          <w:sz w:val="24"/>
          <w:szCs w:val="24"/>
        </w:rPr>
        <w:t>The ODA budget has stagnated in several past years (149.5 million EUR in 2013, only 0.11% ODA/GNI), a ratio of bilateral cooperation</w:t>
      </w:r>
      <w:r w:rsidRPr="00872784">
        <w:rPr>
          <w:rStyle w:val="FootnoteReference"/>
          <w:rFonts w:ascii="Garamond" w:hAnsi="Garamond"/>
          <w:sz w:val="24"/>
          <w:szCs w:val="24"/>
        </w:rPr>
        <w:footnoteReference w:id="13"/>
      </w:r>
      <w:r w:rsidRPr="00872784">
        <w:rPr>
          <w:rFonts w:ascii="Garamond" w:hAnsi="Garamond" w:cs="Arial"/>
          <w:sz w:val="24"/>
          <w:szCs w:val="24"/>
        </w:rPr>
        <w:t xml:space="preserve"> is only 27%, and support for the Least Developed Countries is decreasing (c</w:t>
      </w:r>
      <w:r w:rsidRPr="00872784">
        <w:rPr>
          <w:rFonts w:ascii="Garamond" w:hAnsi="Garamond" w:cs="Calibri"/>
          <w:sz w:val="24"/>
          <w:szCs w:val="24"/>
        </w:rPr>
        <w:t>omparing to 2012, there was 10% fall</w:t>
      </w:r>
      <w:r w:rsidRPr="00872784">
        <w:rPr>
          <w:rFonts w:ascii="Garamond" w:hAnsi="Garamond" w:cs="Calibri"/>
          <w:bCs/>
          <w:sz w:val="24"/>
          <w:szCs w:val="24"/>
        </w:rPr>
        <w:t>).</w:t>
      </w:r>
      <w:r w:rsidRPr="00872784">
        <w:rPr>
          <w:rStyle w:val="FootnoteReference"/>
          <w:rFonts w:ascii="Garamond" w:hAnsi="Garamond"/>
          <w:sz w:val="24"/>
          <w:szCs w:val="24"/>
        </w:rPr>
        <w:footnoteReference w:id="14"/>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CSO consensus on political objectives</w:t>
      </w:r>
    </w:p>
    <w:p w:rsidR="0068201B" w:rsidRPr="00872784" w:rsidRDefault="0068201B" w:rsidP="009570DD">
      <w:pPr>
        <w:spacing w:line="240" w:lineRule="auto"/>
        <w:jc w:val="both"/>
        <w:rPr>
          <w:rFonts w:ascii="Garamond" w:hAnsi="Garamond" w:cs="Calibri"/>
          <w:color w:val="000000"/>
          <w:sz w:val="24"/>
          <w:szCs w:val="24"/>
        </w:rPr>
      </w:pPr>
      <w:r w:rsidRPr="00872784">
        <w:rPr>
          <w:rFonts w:ascii="Garamond" w:hAnsi="Garamond"/>
          <w:bCs/>
          <w:sz w:val="24"/>
          <w:szCs w:val="24"/>
        </w:rPr>
        <w:t xml:space="preserve">Development </w:t>
      </w:r>
      <w:r w:rsidRPr="00872784">
        <w:rPr>
          <w:rFonts w:ascii="Garamond" w:hAnsi="Garamond" w:cs="Calibri"/>
          <w:color w:val="000000"/>
          <w:sz w:val="24"/>
          <w:szCs w:val="24"/>
        </w:rPr>
        <w:t>CSOs consider extreme poverty as one of the most pressing global problems. FoRS envisions the</w:t>
      </w:r>
      <w:r>
        <w:rPr>
          <w:rFonts w:ascii="Garamond" w:hAnsi="Garamond" w:cs="Calibri"/>
          <w:color w:val="000000"/>
          <w:sz w:val="24"/>
          <w:szCs w:val="24"/>
        </w:rPr>
        <w:t xml:space="preserve"> </w:t>
      </w:r>
      <w:r w:rsidRPr="00872784">
        <w:rPr>
          <w:rFonts w:ascii="Garamond" w:hAnsi="Garamond" w:cs="Calibri"/>
          <w:color w:val="000000"/>
          <w:sz w:val="24"/>
          <w:szCs w:val="24"/>
        </w:rPr>
        <w:t>eradication of poverty through environmentally sustainable and socially just development, human rights protection, conflict prevention and peaceful conflict resolution.</w:t>
      </w:r>
      <w:r w:rsidRPr="00872784">
        <w:rPr>
          <w:rStyle w:val="FootnoteReference"/>
          <w:rFonts w:ascii="Garamond" w:hAnsi="Garamond"/>
          <w:color w:val="000000"/>
          <w:sz w:val="24"/>
          <w:szCs w:val="24"/>
        </w:rPr>
        <w:footnoteReference w:id="15"/>
      </w:r>
      <w:r w:rsidRPr="00872784">
        <w:rPr>
          <w:rFonts w:ascii="Garamond" w:hAnsi="Garamond" w:cs="Calibri"/>
          <w:color w:val="000000"/>
          <w:sz w:val="24"/>
          <w:szCs w:val="24"/>
        </w:rPr>
        <w:t xml:space="preserve"> Development, prosperity and decent life are not possible without environmental protection and respect for planetary boundaries, inter-sectoral cooperation, and linking domestic and foreign as well as development and non-development agendas. </w:t>
      </w:r>
      <w:r w:rsidRPr="00872784">
        <w:rPr>
          <w:rFonts w:ascii="Garamond" w:hAnsi="Garamond" w:cs="Calibri"/>
          <w:sz w:val="24"/>
          <w:szCs w:val="24"/>
        </w:rPr>
        <w:t>ODA should contribute to economic growth that does not put in danger long-term conditions for a quality life that is enjoyed also by the most vulnerable population groups such as women, children, small farmers, and elder or disabled people.</w:t>
      </w:r>
      <w:r w:rsidRPr="00872784">
        <w:rPr>
          <w:rStyle w:val="FootnoteReference"/>
          <w:rFonts w:ascii="Garamond" w:hAnsi="Garamond"/>
          <w:sz w:val="24"/>
          <w:szCs w:val="24"/>
        </w:rPr>
        <w:footnoteReference w:id="16"/>
      </w:r>
      <w:r w:rsidRPr="00872784">
        <w:rPr>
          <w:rFonts w:ascii="Garamond" w:hAnsi="Garamond" w:cs="Calibri"/>
          <w:sz w:val="24"/>
          <w:szCs w:val="24"/>
        </w:rPr>
        <w:t xml:space="preserve"> </w:t>
      </w:r>
      <w:r w:rsidRPr="00872784">
        <w:rPr>
          <w:rFonts w:ascii="Garamond" w:hAnsi="Garamond" w:cs="Calibri"/>
          <w:color w:val="000000"/>
          <w:sz w:val="24"/>
          <w:szCs w:val="24"/>
        </w:rPr>
        <w:t>Consensus on key principles of effective development was confirmed by adoption of the FoRS Code on Effectiveness</w:t>
      </w:r>
      <w:r w:rsidRPr="00872784">
        <w:rPr>
          <w:rStyle w:val="FootnoteReference"/>
          <w:rFonts w:ascii="Garamond" w:hAnsi="Garamond"/>
          <w:color w:val="000000"/>
          <w:sz w:val="24"/>
          <w:szCs w:val="24"/>
        </w:rPr>
        <w:footnoteReference w:id="17"/>
      </w:r>
      <w:r w:rsidRPr="00872784">
        <w:rPr>
          <w:rFonts w:ascii="Garamond" w:hAnsi="Garamond" w:cs="Calibri"/>
          <w:color w:val="000000"/>
          <w:sz w:val="24"/>
          <w:szCs w:val="24"/>
        </w:rPr>
        <w:t xml:space="preserve"> in 2011.</w:t>
      </w:r>
    </w:p>
    <w:p w:rsidR="0068201B" w:rsidRPr="00872784" w:rsidRDefault="0068201B" w:rsidP="00F27ECF">
      <w:pPr>
        <w:pStyle w:val="ListParagraph"/>
        <w:numPr>
          <w:ilvl w:val="0"/>
          <w:numId w:val="1"/>
        </w:numPr>
        <w:spacing w:line="240" w:lineRule="auto"/>
        <w:ind w:left="360"/>
        <w:jc w:val="both"/>
        <w:rPr>
          <w:rFonts w:ascii="Garamond" w:hAnsi="Garamond" w:cs="Calibri"/>
          <w:b/>
          <w:i/>
          <w:sz w:val="24"/>
          <w:szCs w:val="24"/>
        </w:rPr>
      </w:pPr>
      <w:r w:rsidRPr="00872784">
        <w:rPr>
          <w:rFonts w:ascii="Garamond" w:hAnsi="Garamond" w:cs="Calibri"/>
          <w:b/>
          <w:i/>
          <w:sz w:val="24"/>
          <w:szCs w:val="24"/>
        </w:rPr>
        <w:t>The governance context</w:t>
      </w:r>
    </w:p>
    <w:p w:rsidR="0068201B" w:rsidRPr="00872784" w:rsidRDefault="0068201B" w:rsidP="000121BA">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ODA policies and practices</w:t>
      </w:r>
    </w:p>
    <w:p w:rsidR="0068201B" w:rsidRPr="00872784" w:rsidRDefault="0068201B" w:rsidP="004C7C92">
      <w:pPr>
        <w:spacing w:after="120" w:line="240" w:lineRule="auto"/>
        <w:jc w:val="both"/>
        <w:rPr>
          <w:rFonts w:ascii="Garamond" w:hAnsi="Garamond" w:cs="Calibri"/>
          <w:sz w:val="24"/>
          <w:szCs w:val="24"/>
        </w:rPr>
      </w:pPr>
      <w:r w:rsidRPr="00872784">
        <w:rPr>
          <w:rFonts w:ascii="Garamond" w:hAnsi="Garamond" w:cs="Calibri"/>
          <w:color w:val="000000"/>
          <w:sz w:val="24"/>
          <w:szCs w:val="24"/>
        </w:rPr>
        <w:t xml:space="preserve">Cooperation with </w:t>
      </w:r>
      <w:r>
        <w:rPr>
          <w:rFonts w:ascii="Garamond" w:hAnsi="Garamond" w:cs="Calibri"/>
          <w:color w:val="000000"/>
          <w:sz w:val="24"/>
          <w:szCs w:val="24"/>
        </w:rPr>
        <w:t>5 priority</w:t>
      </w:r>
      <w:r w:rsidRPr="00872784">
        <w:rPr>
          <w:rFonts w:ascii="Garamond" w:hAnsi="Garamond" w:cs="Calibri"/>
          <w:color w:val="000000"/>
          <w:sz w:val="24"/>
          <w:szCs w:val="24"/>
        </w:rPr>
        <w:t xml:space="preserve"> countries is defined by multi-annual cooperation </w:t>
      </w:r>
      <w:r>
        <w:rPr>
          <w:rFonts w:ascii="Garamond" w:hAnsi="Garamond" w:cs="Calibri"/>
          <w:color w:val="000000"/>
          <w:sz w:val="24"/>
          <w:szCs w:val="24"/>
        </w:rPr>
        <w:t>programmes</w:t>
      </w:r>
      <w:r w:rsidRPr="00872784">
        <w:rPr>
          <w:rFonts w:ascii="Garamond" w:hAnsi="Garamond" w:cs="Calibri"/>
          <w:color w:val="000000"/>
          <w:sz w:val="24"/>
          <w:szCs w:val="24"/>
        </w:rPr>
        <w:t xml:space="preserve">. Projects in other partner countries reflect the priority needs in several generally defined sectors. </w:t>
      </w:r>
      <w:r w:rsidRPr="00872784">
        <w:rPr>
          <w:rFonts w:ascii="Garamond" w:hAnsi="Garamond" w:cs="Calibri"/>
          <w:sz w:val="24"/>
          <w:szCs w:val="24"/>
        </w:rPr>
        <w:t>The Czech MFA prepares an annual implementation and financial plan of bilateral ODA with a mid-term outlook for the following two years. These plans are negotiated within the Czech Council for International Development Cooperation. During the consultations</w:t>
      </w:r>
      <w:r>
        <w:rPr>
          <w:rFonts w:ascii="Garamond" w:hAnsi="Garamond" w:cs="Calibri"/>
          <w:sz w:val="24"/>
          <w:szCs w:val="24"/>
        </w:rPr>
        <w:t xml:space="preserve"> on 2015 plan</w:t>
      </w:r>
      <w:r w:rsidRPr="00872784">
        <w:rPr>
          <w:rFonts w:ascii="Garamond" w:hAnsi="Garamond" w:cs="Calibri"/>
          <w:sz w:val="24"/>
          <w:szCs w:val="24"/>
        </w:rPr>
        <w:t xml:space="preserve">, FoRS remarked favourably </w:t>
      </w:r>
      <w:r>
        <w:rPr>
          <w:rFonts w:ascii="Garamond" w:hAnsi="Garamond" w:cs="Calibri"/>
          <w:sz w:val="24"/>
          <w:szCs w:val="24"/>
        </w:rPr>
        <w:t>continuity of</w:t>
      </w:r>
      <w:r w:rsidRPr="00872784">
        <w:rPr>
          <w:rFonts w:ascii="Garamond" w:hAnsi="Garamond" w:cs="Calibri"/>
          <w:sz w:val="24"/>
          <w:szCs w:val="24"/>
        </w:rPr>
        <w:t xml:space="preserve"> the Czech ODA and the strengthened focus on human rights, but also provided a number of recommendations, including the need to increase and better use the ODA budget.</w:t>
      </w:r>
    </w:p>
    <w:p w:rsidR="0068201B" w:rsidRPr="00872784" w:rsidRDefault="0068201B" w:rsidP="000121BA">
      <w:pPr>
        <w:tabs>
          <w:tab w:val="left" w:pos="8789"/>
        </w:tabs>
        <w:spacing w:after="120" w:line="240" w:lineRule="auto"/>
        <w:jc w:val="both"/>
        <w:rPr>
          <w:rFonts w:ascii="Garamond" w:hAnsi="Garamond" w:cs="Calibri"/>
          <w:color w:val="000000"/>
          <w:sz w:val="24"/>
          <w:szCs w:val="24"/>
        </w:rPr>
      </w:pPr>
      <w:r>
        <w:rPr>
          <w:rFonts w:ascii="Garamond" w:hAnsi="Garamond" w:cs="Calibri"/>
          <w:color w:val="000000"/>
          <w:sz w:val="24"/>
          <w:szCs w:val="24"/>
        </w:rPr>
        <w:t xml:space="preserve">In the frame of </w:t>
      </w:r>
      <w:r w:rsidRPr="00872784">
        <w:rPr>
          <w:rFonts w:ascii="Garamond" w:hAnsi="Garamond" w:cs="Calibri"/>
          <w:color w:val="000000"/>
          <w:sz w:val="24"/>
          <w:szCs w:val="24"/>
        </w:rPr>
        <w:t>bilateral ODA, a special Transition Promotion Program</w:t>
      </w:r>
      <w:r>
        <w:rPr>
          <w:rFonts w:ascii="Garamond" w:hAnsi="Garamond" w:cs="Calibri"/>
          <w:color w:val="000000"/>
          <w:sz w:val="24"/>
          <w:szCs w:val="24"/>
        </w:rPr>
        <w:t>me</w:t>
      </w:r>
      <w:r w:rsidRPr="00872784">
        <w:rPr>
          <w:rFonts w:ascii="Garamond" w:hAnsi="Garamond" w:cs="Calibri"/>
          <w:color w:val="000000"/>
          <w:sz w:val="24"/>
          <w:szCs w:val="24"/>
        </w:rPr>
        <w:t xml:space="preserve"> was established in 2005 as a financial instrument of the Czech MFA, with the goal of supporting democracy and human rights, in light of the Czech Republic’s history of social transition and democratization.</w:t>
      </w:r>
      <w:r>
        <w:rPr>
          <w:rFonts w:ascii="Garamond" w:hAnsi="Garamond" w:cs="Calibri"/>
          <w:color w:val="000000"/>
          <w:sz w:val="24"/>
          <w:szCs w:val="24"/>
        </w:rPr>
        <w:t xml:space="preserve"> </w:t>
      </w:r>
      <w:r w:rsidRPr="00872784">
        <w:rPr>
          <w:rFonts w:ascii="Garamond" w:hAnsi="Garamond" w:cs="Calibri"/>
          <w:color w:val="000000"/>
          <w:sz w:val="24"/>
          <w:szCs w:val="24"/>
        </w:rPr>
        <w:t>The total allocation for 2015 is 1.8 million EUR. Its projects are implemented in cooperation with Czech CSOs and their local partners, underpinning the importance of civil society in democratization processes, with a broader notion of human rights.</w:t>
      </w:r>
      <w:r w:rsidRPr="00872784">
        <w:rPr>
          <w:rStyle w:val="FootnoteReference"/>
          <w:rFonts w:ascii="Garamond" w:hAnsi="Garamond"/>
          <w:color w:val="000000"/>
          <w:sz w:val="24"/>
          <w:szCs w:val="24"/>
        </w:rPr>
        <w:footnoteReference w:id="18"/>
      </w:r>
    </w:p>
    <w:p w:rsidR="0068201B" w:rsidRPr="00872784" w:rsidRDefault="0068201B" w:rsidP="001430A1">
      <w:pPr>
        <w:spacing w:after="120" w:line="240" w:lineRule="auto"/>
        <w:jc w:val="both"/>
        <w:rPr>
          <w:rFonts w:ascii="Garamond" w:hAnsi="Garamond" w:cs="Calibri"/>
          <w:sz w:val="24"/>
          <w:szCs w:val="24"/>
        </w:rPr>
      </w:pPr>
      <w:r w:rsidRPr="00872784">
        <w:rPr>
          <w:rFonts w:ascii="Garamond" w:hAnsi="Garamond" w:cs="Calibri"/>
          <w:color w:val="000000"/>
          <w:sz w:val="24"/>
          <w:szCs w:val="24"/>
        </w:rPr>
        <w:t>The grant program</w:t>
      </w:r>
      <w:r>
        <w:rPr>
          <w:rFonts w:ascii="Garamond" w:hAnsi="Garamond" w:cs="Calibri"/>
          <w:color w:val="000000"/>
          <w:sz w:val="24"/>
          <w:szCs w:val="24"/>
        </w:rPr>
        <w:t>me</w:t>
      </w:r>
      <w:r w:rsidRPr="00872784">
        <w:rPr>
          <w:rFonts w:ascii="Garamond" w:hAnsi="Garamond" w:cs="Calibri"/>
          <w:color w:val="000000"/>
          <w:sz w:val="24"/>
          <w:szCs w:val="24"/>
        </w:rPr>
        <w:t>s for CSOs include a program</w:t>
      </w:r>
      <w:r>
        <w:rPr>
          <w:rFonts w:ascii="Garamond" w:hAnsi="Garamond" w:cs="Calibri"/>
          <w:color w:val="000000"/>
          <w:sz w:val="24"/>
          <w:szCs w:val="24"/>
        </w:rPr>
        <w:t>me</w:t>
      </w:r>
      <w:r w:rsidRPr="00872784">
        <w:rPr>
          <w:rFonts w:ascii="Garamond" w:hAnsi="Garamond" w:cs="Calibri"/>
          <w:color w:val="000000"/>
          <w:sz w:val="24"/>
          <w:szCs w:val="24"/>
        </w:rPr>
        <w:t xml:space="preserve"> </w:t>
      </w:r>
      <w:r w:rsidRPr="00872784">
        <w:rPr>
          <w:rFonts w:ascii="Garamond" w:hAnsi="Garamond" w:cs="Calibri"/>
          <w:sz w:val="24"/>
          <w:szCs w:val="24"/>
        </w:rPr>
        <w:t>on awareness and education (0.54 million EUR in 2015), a program</w:t>
      </w:r>
      <w:r>
        <w:rPr>
          <w:rFonts w:ascii="Garamond" w:hAnsi="Garamond" w:cs="Calibri"/>
          <w:sz w:val="24"/>
          <w:szCs w:val="24"/>
        </w:rPr>
        <w:t>me</w:t>
      </w:r>
      <w:r w:rsidRPr="00872784">
        <w:rPr>
          <w:rFonts w:ascii="Garamond" w:hAnsi="Garamond" w:cs="Calibri"/>
          <w:sz w:val="24"/>
          <w:szCs w:val="24"/>
        </w:rPr>
        <w:t xml:space="preserve"> on capacity building and partnerships (0.11 million EUR in 2015) and a program</w:t>
      </w:r>
      <w:r>
        <w:rPr>
          <w:rFonts w:ascii="Garamond" w:hAnsi="Garamond" w:cs="Calibri"/>
          <w:sz w:val="24"/>
          <w:szCs w:val="24"/>
        </w:rPr>
        <w:t>me</w:t>
      </w:r>
      <w:r w:rsidRPr="00872784">
        <w:rPr>
          <w:rFonts w:ascii="Garamond" w:hAnsi="Garamond" w:cs="Calibri"/>
          <w:sz w:val="24"/>
          <w:szCs w:val="24"/>
        </w:rPr>
        <w:t xml:space="preserve"> on capacity building of the platforms (0.09 million EUR in 2015). The CSO must usually provide 30% of own co-financing. </w:t>
      </w:r>
      <w:r>
        <w:rPr>
          <w:rFonts w:ascii="Garamond" w:hAnsi="Garamond" w:cs="Calibri"/>
          <w:sz w:val="24"/>
          <w:szCs w:val="24"/>
        </w:rPr>
        <w:t xml:space="preserve">This disqualifies many small CSOs. </w:t>
      </w:r>
      <w:r w:rsidRPr="00872784">
        <w:rPr>
          <w:rFonts w:ascii="Garamond" w:hAnsi="Garamond" w:cs="Calibri"/>
          <w:sz w:val="24"/>
          <w:szCs w:val="24"/>
        </w:rPr>
        <w:t>A special grant program</w:t>
      </w:r>
      <w:r>
        <w:rPr>
          <w:rFonts w:ascii="Garamond" w:hAnsi="Garamond" w:cs="Calibri"/>
          <w:sz w:val="24"/>
          <w:szCs w:val="24"/>
        </w:rPr>
        <w:t>me</w:t>
      </w:r>
      <w:r w:rsidRPr="00872784">
        <w:rPr>
          <w:rFonts w:ascii="Garamond" w:hAnsi="Garamond" w:cs="Calibri"/>
          <w:sz w:val="24"/>
          <w:szCs w:val="24"/>
        </w:rPr>
        <w:t xml:space="preserve"> supports triangular cooperation with other donors, in particular with the European Commission (1.23 million EUR in 2015). A budget of 0.18 million EUR is then allocated for ODA evaluations.</w:t>
      </w:r>
    </w:p>
    <w:p w:rsidR="0068201B" w:rsidRPr="00872784" w:rsidRDefault="0068201B" w:rsidP="00B62DC8">
      <w:pPr>
        <w:spacing w:after="120" w:line="240" w:lineRule="auto"/>
        <w:jc w:val="both"/>
        <w:rPr>
          <w:rFonts w:ascii="Garamond" w:hAnsi="Garamond" w:cs="Calibri"/>
          <w:color w:val="000000"/>
          <w:sz w:val="24"/>
          <w:szCs w:val="24"/>
        </w:rPr>
      </w:pPr>
      <w:r w:rsidRPr="00872784">
        <w:rPr>
          <w:rFonts w:ascii="Garamond" w:hAnsi="Garamond" w:cs="Calibri"/>
          <w:color w:val="000000"/>
          <w:sz w:val="24"/>
          <w:szCs w:val="24"/>
        </w:rPr>
        <w:t>Czech bilateral projects are divided between CSOs and the private sector on a relatively even basis.</w:t>
      </w:r>
      <w:r>
        <w:rPr>
          <w:rFonts w:ascii="Garamond" w:hAnsi="Garamond" w:cs="Calibri"/>
          <w:color w:val="000000"/>
          <w:sz w:val="24"/>
          <w:szCs w:val="24"/>
        </w:rPr>
        <w:t xml:space="preserve"> The projects implemented by </w:t>
      </w:r>
      <w:r w:rsidRPr="00872784">
        <w:rPr>
          <w:rFonts w:ascii="Garamond" w:hAnsi="Garamond" w:cs="Calibri"/>
          <w:color w:val="000000"/>
          <w:sz w:val="24"/>
          <w:szCs w:val="24"/>
        </w:rPr>
        <w:t xml:space="preserve">CSOs </w:t>
      </w:r>
      <w:r>
        <w:rPr>
          <w:rFonts w:ascii="Garamond" w:hAnsi="Garamond" w:cs="Calibri"/>
          <w:color w:val="000000"/>
          <w:sz w:val="24"/>
          <w:szCs w:val="24"/>
        </w:rPr>
        <w:t>receive</w:t>
      </w:r>
      <w:r w:rsidRPr="00872784">
        <w:rPr>
          <w:rFonts w:ascii="Garamond" w:hAnsi="Garamond" w:cs="Calibri"/>
          <w:color w:val="000000"/>
          <w:sz w:val="24"/>
          <w:szCs w:val="24"/>
        </w:rPr>
        <w:t xml:space="preserve"> 39% of the </w:t>
      </w:r>
      <w:r>
        <w:rPr>
          <w:rFonts w:ascii="Garamond" w:hAnsi="Garamond" w:cs="Calibri"/>
          <w:color w:val="000000"/>
          <w:sz w:val="24"/>
          <w:szCs w:val="24"/>
        </w:rPr>
        <w:t xml:space="preserve">allocated bilateral </w:t>
      </w:r>
      <w:r w:rsidRPr="00872784">
        <w:rPr>
          <w:rFonts w:ascii="Garamond" w:hAnsi="Garamond" w:cs="Calibri"/>
          <w:color w:val="000000"/>
          <w:sz w:val="24"/>
          <w:szCs w:val="24"/>
        </w:rPr>
        <w:t xml:space="preserve">budget while the </w:t>
      </w:r>
      <w:r>
        <w:rPr>
          <w:rFonts w:ascii="Garamond" w:hAnsi="Garamond" w:cs="Calibri"/>
          <w:color w:val="000000"/>
          <w:sz w:val="24"/>
          <w:szCs w:val="24"/>
        </w:rPr>
        <w:t xml:space="preserve">projects implemented by </w:t>
      </w:r>
      <w:r w:rsidRPr="00872784">
        <w:rPr>
          <w:rFonts w:ascii="Garamond" w:hAnsi="Garamond" w:cs="Calibri"/>
          <w:color w:val="000000"/>
          <w:sz w:val="24"/>
          <w:szCs w:val="24"/>
        </w:rPr>
        <w:t xml:space="preserve">private sector </w:t>
      </w:r>
      <w:r>
        <w:rPr>
          <w:rFonts w:ascii="Garamond" w:hAnsi="Garamond" w:cs="Calibri"/>
          <w:color w:val="000000"/>
          <w:sz w:val="24"/>
          <w:szCs w:val="24"/>
        </w:rPr>
        <w:t>receive</w:t>
      </w:r>
      <w:r w:rsidRPr="00872784">
        <w:rPr>
          <w:rFonts w:ascii="Garamond" w:hAnsi="Garamond" w:cs="Calibri"/>
          <w:color w:val="000000"/>
          <w:sz w:val="24"/>
          <w:szCs w:val="24"/>
        </w:rPr>
        <w:t xml:space="preserve"> 36%</w:t>
      </w:r>
      <w:r>
        <w:rPr>
          <w:rFonts w:ascii="Garamond" w:hAnsi="Garamond" w:cs="Calibri"/>
          <w:color w:val="000000"/>
          <w:sz w:val="24"/>
          <w:szCs w:val="24"/>
        </w:rPr>
        <w:t>. U</w:t>
      </w:r>
      <w:r w:rsidRPr="00872784">
        <w:rPr>
          <w:rFonts w:ascii="Garamond" w:hAnsi="Garamond" w:cs="Calibri"/>
          <w:color w:val="000000"/>
          <w:sz w:val="24"/>
          <w:szCs w:val="24"/>
        </w:rPr>
        <w:t>niversities and other academic institutions have 6%, and governmental and local authorities around 6%</w:t>
      </w:r>
      <w:r>
        <w:rPr>
          <w:rFonts w:ascii="Garamond" w:hAnsi="Garamond" w:cs="Calibri"/>
          <w:color w:val="000000"/>
          <w:sz w:val="24"/>
          <w:szCs w:val="24"/>
        </w:rPr>
        <w:t xml:space="preserve"> share</w:t>
      </w:r>
      <w:r w:rsidRPr="00872784">
        <w:rPr>
          <w:rFonts w:ascii="Garamond" w:hAnsi="Garamond" w:cs="Calibri"/>
          <w:color w:val="000000"/>
          <w:sz w:val="24"/>
          <w:szCs w:val="24"/>
        </w:rPr>
        <w:t>. Most of the projects are launched through public tenders, with most</w:t>
      </w:r>
      <w:r>
        <w:rPr>
          <w:rFonts w:ascii="Garamond" w:hAnsi="Garamond" w:cs="Calibri"/>
          <w:color w:val="000000"/>
          <w:sz w:val="24"/>
          <w:szCs w:val="24"/>
        </w:rPr>
        <w:t xml:space="preserve"> </w:t>
      </w:r>
      <w:r w:rsidRPr="00872784">
        <w:rPr>
          <w:rFonts w:ascii="Garamond" w:hAnsi="Garamond" w:cs="Calibri"/>
          <w:color w:val="000000"/>
          <w:sz w:val="24"/>
          <w:szCs w:val="24"/>
        </w:rPr>
        <w:t>of the supplies provided by private sector. CSOs can submit their own projects in the relevant grant program</w:t>
      </w:r>
      <w:r>
        <w:rPr>
          <w:rFonts w:ascii="Garamond" w:hAnsi="Garamond" w:cs="Calibri"/>
          <w:color w:val="000000"/>
          <w:sz w:val="24"/>
          <w:szCs w:val="24"/>
        </w:rPr>
        <w:t>me</w:t>
      </w:r>
      <w:r w:rsidRPr="00872784">
        <w:rPr>
          <w:rFonts w:ascii="Garamond" w:hAnsi="Garamond" w:cs="Calibri"/>
          <w:color w:val="000000"/>
          <w:sz w:val="24"/>
          <w:szCs w:val="24"/>
        </w:rPr>
        <w:t>s but must ensure their own co-financing.</w:t>
      </w:r>
    </w:p>
    <w:p w:rsidR="0068201B" w:rsidRPr="00872784" w:rsidRDefault="0068201B" w:rsidP="009570DD">
      <w:pPr>
        <w:spacing w:line="240" w:lineRule="auto"/>
        <w:jc w:val="both"/>
        <w:rPr>
          <w:rFonts w:ascii="Garamond" w:hAnsi="Garamond" w:cs="Calibri"/>
          <w:color w:val="000000"/>
          <w:sz w:val="24"/>
          <w:szCs w:val="24"/>
        </w:rPr>
      </w:pPr>
      <w:r w:rsidRPr="00872784">
        <w:rPr>
          <w:rFonts w:ascii="Garamond" w:hAnsi="Garamond" w:cs="Calibri"/>
          <w:color w:val="000000"/>
          <w:sz w:val="24"/>
          <w:szCs w:val="24"/>
        </w:rPr>
        <w:t>Though official strategy documents acknowledge aid effectiveness, the Czech Republic has never had a clear implementation plan to fulfil its commitments with binding targets, indicators or time schedules. This has not changed much since Busan. Some positive steps have been taken in terms of improving coordination and harmonisation with other donors and implementing bodies, such as involvement of the Czech Republic in so called Joint EU programming.</w:t>
      </w:r>
      <w:r w:rsidRPr="00872784">
        <w:rPr>
          <w:rFonts w:ascii="Garamond" w:hAnsi="Garamond" w:cs="Calibri"/>
          <w:sz w:val="24"/>
          <w:szCs w:val="24"/>
          <w:vertAlign w:val="superscript"/>
        </w:rPr>
        <w:footnoteReference w:id="19"/>
      </w:r>
      <w:r w:rsidRPr="00872784">
        <w:rPr>
          <w:rFonts w:ascii="Garamond" w:hAnsi="Garamond" w:cs="Calibri"/>
          <w:color w:val="000000"/>
          <w:sz w:val="24"/>
          <w:szCs w:val="24"/>
        </w:rPr>
        <w:t xml:space="preserve"> New themes have emerged, such as the private sector’s role in development. During the mid-term review of the Czech ODA Strategy, an increased attention was given to development effectiveness and sustainability of impacts. </w:t>
      </w:r>
      <w:r>
        <w:rPr>
          <w:rFonts w:ascii="Garamond" w:hAnsi="Garamond" w:cs="Calibri"/>
          <w:color w:val="000000"/>
          <w:sz w:val="24"/>
          <w:szCs w:val="24"/>
        </w:rPr>
        <w:t>In the recent study, FoRS proposed s</w:t>
      </w:r>
      <w:r w:rsidRPr="00872784">
        <w:rPr>
          <w:rFonts w:ascii="Garamond" w:hAnsi="Garamond" w:cs="Calibri"/>
          <w:color w:val="000000"/>
          <w:sz w:val="24"/>
          <w:szCs w:val="24"/>
        </w:rPr>
        <w:t>everal measures to improve sustainability of the Czech ODA projects.</w:t>
      </w:r>
      <w:r w:rsidRPr="00872784">
        <w:rPr>
          <w:rStyle w:val="FootnoteReference"/>
          <w:rFonts w:ascii="Garamond" w:hAnsi="Garamond"/>
          <w:color w:val="000000"/>
          <w:sz w:val="24"/>
          <w:szCs w:val="24"/>
        </w:rPr>
        <w:footnoteReference w:id="20"/>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Constraints for inclusive engagement of CSOs</w:t>
      </w:r>
    </w:p>
    <w:p w:rsidR="0068201B" w:rsidRPr="00872784" w:rsidRDefault="0068201B" w:rsidP="00166CC1">
      <w:pPr>
        <w:pStyle w:val="CommentText"/>
        <w:spacing w:after="120" w:line="240" w:lineRule="auto"/>
        <w:jc w:val="both"/>
        <w:rPr>
          <w:rFonts w:ascii="Garamond" w:hAnsi="Garamond" w:cs="Calibri"/>
          <w:color w:val="000000"/>
          <w:sz w:val="24"/>
          <w:szCs w:val="24"/>
        </w:rPr>
      </w:pPr>
      <w:r w:rsidRPr="00872784">
        <w:rPr>
          <w:rFonts w:ascii="Garamond" w:hAnsi="Garamond"/>
          <w:sz w:val="24"/>
          <w:szCs w:val="24"/>
        </w:rPr>
        <w:t>The governance of ODA programs is still not fully satisfactory. For example, the usual cutting of the budgets of the approved project challenges the principles of good governance, effectiveness and transparency. The</w:t>
      </w:r>
      <w:r w:rsidRPr="00872784">
        <w:rPr>
          <w:rFonts w:ascii="Garamond" w:hAnsi="Garamond" w:cs="Calibri"/>
          <w:color w:val="000000"/>
          <w:sz w:val="24"/>
          <w:szCs w:val="24"/>
        </w:rPr>
        <w:t xml:space="preserve"> role of </w:t>
      </w:r>
      <w:r>
        <w:rPr>
          <w:rFonts w:ascii="Garamond" w:hAnsi="Garamond" w:cs="Calibri"/>
          <w:color w:val="000000"/>
          <w:sz w:val="24"/>
          <w:szCs w:val="24"/>
        </w:rPr>
        <w:t xml:space="preserve">Czech </w:t>
      </w:r>
      <w:r w:rsidRPr="00872784">
        <w:rPr>
          <w:rFonts w:ascii="Garamond" w:hAnsi="Garamond" w:cs="Calibri"/>
          <w:color w:val="000000"/>
          <w:sz w:val="24"/>
          <w:szCs w:val="24"/>
        </w:rPr>
        <w:t>Embassies is also unclear, and new guidance on institutional competencies has not been completed</w:t>
      </w:r>
      <w:r>
        <w:rPr>
          <w:rFonts w:ascii="Garamond" w:hAnsi="Garamond" w:cs="Calibri"/>
          <w:color w:val="000000"/>
          <w:sz w:val="24"/>
          <w:szCs w:val="24"/>
        </w:rPr>
        <w:t xml:space="preserve"> yet</w:t>
      </w:r>
      <w:r w:rsidRPr="00872784">
        <w:rPr>
          <w:rFonts w:ascii="Garamond" w:hAnsi="Garamond" w:cs="Calibri"/>
          <w:color w:val="000000"/>
          <w:sz w:val="24"/>
          <w:szCs w:val="24"/>
        </w:rPr>
        <w:t xml:space="preserve">. </w:t>
      </w:r>
      <w:r>
        <w:rPr>
          <w:rFonts w:ascii="Garamond" w:hAnsi="Garamond" w:cs="Calibri"/>
          <w:color w:val="000000"/>
          <w:sz w:val="24"/>
          <w:szCs w:val="24"/>
        </w:rPr>
        <w:t>New development</w:t>
      </w:r>
      <w:r w:rsidRPr="00872784">
        <w:rPr>
          <w:rFonts w:ascii="Garamond" w:hAnsi="Garamond" w:cs="Calibri"/>
          <w:color w:val="000000"/>
          <w:sz w:val="24"/>
          <w:szCs w:val="24"/>
        </w:rPr>
        <w:t xml:space="preserve"> </w:t>
      </w:r>
      <w:r>
        <w:rPr>
          <w:rFonts w:ascii="Garamond" w:hAnsi="Garamond" w:cs="Calibri"/>
          <w:color w:val="000000"/>
          <w:sz w:val="24"/>
          <w:szCs w:val="24"/>
        </w:rPr>
        <w:t>d</w:t>
      </w:r>
      <w:r w:rsidRPr="00872784">
        <w:rPr>
          <w:rFonts w:ascii="Garamond" w:hAnsi="Garamond" w:cs="Calibri"/>
          <w:color w:val="000000"/>
          <w:sz w:val="24"/>
          <w:szCs w:val="24"/>
        </w:rPr>
        <w:t>iplomats in priority countries should help improve the design and monitoring of development projects</w:t>
      </w:r>
      <w:r>
        <w:rPr>
          <w:rFonts w:ascii="Garamond" w:hAnsi="Garamond" w:cs="Calibri"/>
          <w:color w:val="000000"/>
          <w:sz w:val="24"/>
          <w:szCs w:val="24"/>
        </w:rPr>
        <w:t>.</w:t>
      </w:r>
    </w:p>
    <w:p w:rsidR="0068201B" w:rsidRPr="00872784" w:rsidRDefault="0068201B" w:rsidP="008C1313">
      <w:pPr>
        <w:pStyle w:val="BodyText"/>
        <w:spacing w:line="240" w:lineRule="auto"/>
        <w:jc w:val="both"/>
        <w:rPr>
          <w:rFonts w:ascii="Garamond" w:hAnsi="Garamond" w:cs="Calibri"/>
          <w:color w:val="000000"/>
          <w:lang w:val="en-GB"/>
        </w:rPr>
      </w:pPr>
      <w:r w:rsidRPr="00872784">
        <w:rPr>
          <w:rFonts w:ascii="Garamond" w:hAnsi="Garamond" w:cs="Calibri"/>
          <w:bCs/>
          <w:color w:val="000000"/>
          <w:lang w:val="en-GB"/>
        </w:rPr>
        <w:t>Predictability and continuity of funding is fundamental for effective development cooperation.</w:t>
      </w:r>
      <w:r w:rsidRPr="00872784">
        <w:rPr>
          <w:rFonts w:ascii="Garamond" w:hAnsi="Garamond" w:cs="Calibri"/>
          <w:color w:val="000000"/>
          <w:lang w:val="en-GB"/>
        </w:rPr>
        <w:t xml:space="preserve"> The up-to-date system of one-year grants within a fiscal year complicates </w:t>
      </w:r>
      <w:r>
        <w:rPr>
          <w:rFonts w:ascii="Garamond" w:hAnsi="Garamond" w:cs="Calibri"/>
          <w:color w:val="000000"/>
          <w:lang w:val="en-GB"/>
        </w:rPr>
        <w:t xml:space="preserve">the </w:t>
      </w:r>
      <w:r w:rsidRPr="00872784">
        <w:rPr>
          <w:rFonts w:ascii="Garamond" w:hAnsi="Garamond" w:cs="Calibri"/>
          <w:color w:val="000000"/>
          <w:lang w:val="en-GB"/>
        </w:rPr>
        <w:t xml:space="preserve">implementation </w:t>
      </w:r>
      <w:r>
        <w:rPr>
          <w:rFonts w:ascii="Garamond" w:hAnsi="Garamond" w:cs="Calibri"/>
          <w:color w:val="000000"/>
          <w:lang w:val="en-GB"/>
        </w:rPr>
        <w:t>of development projects or programmes and reduces their impacts</w:t>
      </w:r>
      <w:r w:rsidRPr="00872784">
        <w:rPr>
          <w:rFonts w:ascii="Garamond" w:hAnsi="Garamond" w:cs="Calibri"/>
          <w:color w:val="000000"/>
          <w:lang w:val="en-GB"/>
        </w:rPr>
        <w:t>. Based on the new Government Decree (August 2014), the system of multi-year grants and program</w:t>
      </w:r>
      <w:r>
        <w:rPr>
          <w:rFonts w:ascii="Garamond" w:hAnsi="Garamond" w:cs="Calibri"/>
          <w:color w:val="000000"/>
          <w:lang w:val="en-GB"/>
        </w:rPr>
        <w:t>me</w:t>
      </w:r>
      <w:r w:rsidRPr="00872784">
        <w:rPr>
          <w:rFonts w:ascii="Garamond" w:hAnsi="Garamond" w:cs="Calibri"/>
          <w:color w:val="000000"/>
          <w:lang w:val="en-GB"/>
        </w:rPr>
        <w:t xml:space="preserve"> funding will be piloted from 2015. The system of ODA tenders should also allow for multi-year projects, which is already possible in other areas, including for projects supported by the EU Structural Funds or the</w:t>
      </w:r>
      <w:r>
        <w:rPr>
          <w:rFonts w:ascii="Garamond" w:hAnsi="Garamond" w:cs="Calibri"/>
          <w:color w:val="000000"/>
          <w:lang w:val="en-GB"/>
        </w:rPr>
        <w:t xml:space="preserve"> environmental</w:t>
      </w:r>
      <w:r w:rsidRPr="00872784">
        <w:rPr>
          <w:rFonts w:ascii="Garamond" w:hAnsi="Garamond" w:cs="Calibri"/>
          <w:color w:val="000000"/>
          <w:lang w:val="en-GB"/>
        </w:rPr>
        <w:t xml:space="preserve"> projects managed by the Ministry of Finance and the Ministry of Environment.</w:t>
      </w:r>
    </w:p>
    <w:p w:rsidR="0068201B" w:rsidRPr="00872784" w:rsidRDefault="0068201B" w:rsidP="00DC4642">
      <w:pPr>
        <w:pStyle w:val="NormalWeb"/>
        <w:shd w:val="clear" w:color="auto" w:fill="FFFFFF"/>
        <w:spacing w:before="0" w:beforeAutospacing="0" w:after="200" w:afterAutospacing="0"/>
        <w:jc w:val="both"/>
        <w:rPr>
          <w:rFonts w:ascii="Garamond" w:hAnsi="Garamond" w:cs="Calibri"/>
          <w:lang w:val="en-GB"/>
        </w:rPr>
      </w:pPr>
      <w:r w:rsidRPr="00872784">
        <w:rPr>
          <w:rFonts w:ascii="Garamond" w:hAnsi="Garamond" w:cs="Calibri"/>
          <w:color w:val="000000"/>
          <w:lang w:val="en-GB"/>
        </w:rPr>
        <w:t xml:space="preserve">Mechanisms for the implementation, monitoring, and evaluation of cross-cutting </w:t>
      </w:r>
      <w:r>
        <w:rPr>
          <w:rFonts w:ascii="Garamond" w:hAnsi="Garamond" w:cs="Calibri"/>
          <w:color w:val="000000"/>
          <w:lang w:val="en-GB"/>
        </w:rPr>
        <w:t xml:space="preserve">ODA </w:t>
      </w:r>
      <w:r w:rsidRPr="00872784">
        <w:rPr>
          <w:rFonts w:ascii="Garamond" w:hAnsi="Garamond" w:cs="Calibri"/>
          <w:color w:val="000000"/>
          <w:lang w:val="en-GB"/>
        </w:rPr>
        <w:t>principles are still not fully in place.</w:t>
      </w:r>
      <w:r w:rsidRPr="00872784">
        <w:rPr>
          <w:rStyle w:val="FootnoteReference"/>
          <w:rFonts w:ascii="Garamond" w:hAnsi="Garamond"/>
          <w:color w:val="000000"/>
          <w:lang w:val="en-GB"/>
        </w:rPr>
        <w:footnoteReference w:id="21"/>
      </w:r>
      <w:r w:rsidRPr="00872784">
        <w:rPr>
          <w:rFonts w:ascii="Garamond" w:hAnsi="Garamond" w:cs="Calibri"/>
          <w:color w:val="000000"/>
          <w:lang w:val="en-GB"/>
        </w:rPr>
        <w:t xml:space="preserve"> FoRS, in cooperation with the Czech Evaluation Society, prepared a guideline for assessing gender aspects in development projects, and this guideline has been incorporated in the Terms of Reference for evaluations </w:t>
      </w:r>
      <w:r w:rsidRPr="00872784">
        <w:rPr>
          <w:rFonts w:ascii="Garamond" w:hAnsi="Garamond" w:cs="Calibri"/>
          <w:lang w:val="en-GB"/>
        </w:rPr>
        <w:t>since 2014.</w:t>
      </w:r>
      <w:r w:rsidRPr="00872784">
        <w:rPr>
          <w:rStyle w:val="FootnoteReference"/>
          <w:rFonts w:ascii="Garamond" w:hAnsi="Garamond"/>
          <w:lang w:val="en-GB"/>
        </w:rPr>
        <w:footnoteReference w:id="22"/>
      </w:r>
      <w:r w:rsidRPr="00872784">
        <w:rPr>
          <w:rFonts w:ascii="Garamond" w:hAnsi="Garamond" w:cs="Calibri"/>
          <w:lang w:val="en-GB"/>
        </w:rPr>
        <w:t xml:space="preserve"> The ODA plan for 2015 emphasizes support of all generation of human rights, in accordance with the Policy Statement of the Czech Government.</w:t>
      </w:r>
      <w:r w:rsidRPr="00872784">
        <w:rPr>
          <w:rStyle w:val="FootnoteReference"/>
          <w:rFonts w:ascii="Garamond" w:hAnsi="Garamond"/>
          <w:lang w:val="en-GB"/>
        </w:rPr>
        <w:footnoteReference w:id="23"/>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CSOs´ own commitments and advancing multi-stakeholder initiatives</w:t>
      </w:r>
    </w:p>
    <w:p w:rsidR="0068201B" w:rsidRPr="00872784" w:rsidRDefault="0068201B" w:rsidP="006E4353">
      <w:pPr>
        <w:widowControl w:val="0"/>
        <w:spacing w:after="120" w:line="240" w:lineRule="auto"/>
        <w:jc w:val="both"/>
        <w:rPr>
          <w:rFonts w:ascii="Garamond" w:hAnsi="Garamond" w:cs="Calibri"/>
          <w:bCs/>
          <w:color w:val="000000"/>
          <w:sz w:val="24"/>
          <w:szCs w:val="24"/>
        </w:rPr>
      </w:pPr>
      <w:r w:rsidRPr="00872784">
        <w:rPr>
          <w:rFonts w:ascii="Garamond" w:hAnsi="Garamond" w:cs="Calibri"/>
          <w:bCs/>
          <w:color w:val="000000"/>
          <w:sz w:val="24"/>
          <w:szCs w:val="24"/>
        </w:rPr>
        <w:t>In 2011, FoRS adopted its Code on Effectiveness, with five key areas linked to the Istanbul Principles: Grassroots knowledge, Transparency and accountability, Partnership, Respect for human rights and gender equality, and Accountability for impacts and their sustainability. The Code is to help FoRS members enhance the quality and effectiveness of their operations. FoRS members agreed that breaching of “key indicators” (e.g. corruption) could eventually result in the exclusion of a member from FoRS. This is also stated in the FoRS Statute.</w:t>
      </w:r>
      <w:r w:rsidRPr="00872784">
        <w:rPr>
          <w:rStyle w:val="FootnoteReference"/>
          <w:rFonts w:ascii="Garamond" w:hAnsi="Garamond"/>
          <w:bCs/>
          <w:color w:val="000000"/>
          <w:sz w:val="24"/>
          <w:szCs w:val="24"/>
        </w:rPr>
        <w:footnoteReference w:id="24"/>
      </w:r>
    </w:p>
    <w:p w:rsidR="0068201B" w:rsidRPr="00872784" w:rsidRDefault="0068201B" w:rsidP="006E4353">
      <w:pPr>
        <w:widowControl w:val="0"/>
        <w:spacing w:after="120" w:line="240" w:lineRule="auto"/>
        <w:jc w:val="both"/>
        <w:rPr>
          <w:rFonts w:ascii="Garamond" w:hAnsi="Garamond"/>
          <w:bCs/>
          <w:color w:val="000000"/>
          <w:sz w:val="24"/>
          <w:szCs w:val="24"/>
        </w:rPr>
      </w:pPr>
      <w:r w:rsidRPr="00872784">
        <w:rPr>
          <w:rFonts w:ascii="Garamond" w:hAnsi="Garamond" w:cs="Calibri"/>
          <w:bCs/>
          <w:color w:val="000000"/>
          <w:sz w:val="24"/>
          <w:szCs w:val="24"/>
        </w:rPr>
        <w:t>FoRS members carry out an annual self-assessment</w:t>
      </w:r>
      <w:r w:rsidRPr="00872784">
        <w:rPr>
          <w:rStyle w:val="FootnoteReference"/>
          <w:rFonts w:ascii="Garamond" w:hAnsi="Garamond"/>
          <w:bCs/>
          <w:color w:val="000000"/>
          <w:sz w:val="24"/>
          <w:szCs w:val="24"/>
        </w:rPr>
        <w:footnoteReference w:id="25"/>
      </w:r>
      <w:r w:rsidRPr="00872784">
        <w:rPr>
          <w:rFonts w:ascii="Garamond" w:hAnsi="Garamond" w:cs="Calibri"/>
          <w:bCs/>
          <w:color w:val="000000"/>
          <w:sz w:val="24"/>
          <w:szCs w:val="24"/>
        </w:rPr>
        <w:t xml:space="preserve"> according to indicators related to each principle. FoRS Secretariat monitors the annual changes and reflects learning needs in its capacity building plans. The findings are shared at FoRS General Assembly and discussed by the Working group on Effectiveness. In addition to self-assessment, peer-reviews were introduced in 2013 where the peers provide mutual feedback on using the Code, prioritize learning needs, set concrete plan of actions and assess progress.</w:t>
      </w:r>
      <w:r w:rsidRPr="00872784">
        <w:rPr>
          <w:rStyle w:val="FootnoteReference"/>
          <w:rFonts w:ascii="Garamond" w:hAnsi="Garamond"/>
          <w:bCs/>
          <w:color w:val="000000"/>
          <w:sz w:val="24"/>
          <w:szCs w:val="24"/>
        </w:rPr>
        <w:footnoteReference w:id="26"/>
      </w:r>
    </w:p>
    <w:p w:rsidR="0068201B" w:rsidRPr="00872784" w:rsidRDefault="0068201B" w:rsidP="00DC4642">
      <w:pPr>
        <w:pStyle w:val="CommentText"/>
        <w:spacing w:after="120" w:line="240" w:lineRule="auto"/>
        <w:jc w:val="both"/>
        <w:rPr>
          <w:rFonts w:ascii="Garamond" w:hAnsi="Garamond" w:cs="Calibri"/>
          <w:sz w:val="24"/>
          <w:szCs w:val="24"/>
        </w:rPr>
      </w:pPr>
      <w:r w:rsidRPr="00872784">
        <w:rPr>
          <w:rFonts w:ascii="Garamond" w:hAnsi="Garamond" w:cs="Calibri"/>
          <w:sz w:val="24"/>
          <w:szCs w:val="24"/>
        </w:rPr>
        <w:t>FoRS is also engaged in designing and piloting a peer-learning process on effectiveness policies and practices among member organizations of CONCORD.</w:t>
      </w:r>
    </w:p>
    <w:p w:rsidR="0068201B" w:rsidRPr="00872784" w:rsidRDefault="0068201B" w:rsidP="00DC4642">
      <w:pPr>
        <w:spacing w:after="120" w:line="240" w:lineRule="auto"/>
        <w:jc w:val="both"/>
        <w:rPr>
          <w:rFonts w:ascii="Garamond" w:hAnsi="Garamond"/>
          <w:sz w:val="24"/>
          <w:szCs w:val="24"/>
        </w:rPr>
      </w:pPr>
      <w:r w:rsidRPr="00872784">
        <w:rPr>
          <w:rFonts w:ascii="Garamond" w:hAnsi="Garamond" w:cs="Calibri"/>
          <w:color w:val="000000"/>
          <w:sz w:val="24"/>
          <w:szCs w:val="24"/>
        </w:rPr>
        <w:t>Open</w:t>
      </w:r>
      <w:r w:rsidRPr="00872784">
        <w:rPr>
          <w:rFonts w:ascii="Garamond" w:hAnsi="Garamond" w:cs="Calibri"/>
          <w:sz w:val="24"/>
          <w:szCs w:val="24"/>
        </w:rPr>
        <w:t xml:space="preserve"> partnerships of </w:t>
      </w:r>
      <w:r w:rsidRPr="00872784">
        <w:rPr>
          <w:rFonts w:ascii="Garamond" w:hAnsi="Garamond" w:cs="Calibri"/>
          <w:color w:val="000000"/>
          <w:sz w:val="24"/>
          <w:szCs w:val="24"/>
        </w:rPr>
        <w:t xml:space="preserve">entities from the public, non-governmental and private sectors are key assumptions for effective development cooperation. Though this is also an important aspect declared in official documents, there is no systematic support for joint projects carried out by CSOs, private companies and other actors. FoRS has thus </w:t>
      </w:r>
      <w:r w:rsidRPr="00872784">
        <w:rPr>
          <w:rFonts w:ascii="Garamond" w:hAnsi="Garamond"/>
          <w:sz w:val="24"/>
          <w:szCs w:val="24"/>
        </w:rPr>
        <w:t>initiated or participated in several multi-stakeholder initiatives. Besides the ongoing dialogue within the Council for International Development Cooperation and FoRS participation in thematic workshops organized by the MFA or CZDA, the first big inter-sectoral event was a FoRS International Conference on Development Effectiveness organized during the Czech Presidency of the European Council in 2009. The process of searching for possible ways of cooperation with private companies as well as academia is ongoing, and FoRS has commissioned several studies on this matter. CZDA and MFA representatives are invited to all FoRS expert events and they regularly participate in the FoRS General Assemblies.</w:t>
      </w:r>
    </w:p>
    <w:p w:rsidR="0068201B" w:rsidRPr="00872784" w:rsidRDefault="0068201B" w:rsidP="00DC4642">
      <w:pPr>
        <w:spacing w:after="120" w:line="240" w:lineRule="auto"/>
        <w:jc w:val="both"/>
        <w:rPr>
          <w:rFonts w:ascii="Garamond" w:hAnsi="Garamond" w:cs="Helvetica"/>
          <w:sz w:val="24"/>
          <w:szCs w:val="24"/>
        </w:rPr>
      </w:pPr>
      <w:r w:rsidRPr="00872784">
        <w:rPr>
          <w:rFonts w:ascii="Garamond" w:hAnsi="Garamond"/>
          <w:sz w:val="24"/>
          <w:szCs w:val="24"/>
        </w:rPr>
        <w:t xml:space="preserve">An important cross-sectoral cooperation of development CSOs (FoRS), environmental CSOs (Green Circle) and educational CSOs has begun during preparations for the European Year for Development 2015. </w:t>
      </w:r>
      <w:r w:rsidRPr="00872784">
        <w:rPr>
          <w:rFonts w:ascii="Garamond" w:hAnsi="Garamond" w:cs="Helvetica"/>
          <w:sz w:val="24"/>
          <w:szCs w:val="24"/>
        </w:rPr>
        <w:t>Recently, they presented joint “starting points” for discussions about the global development agenda post-2015 to the MFA, sharing a joint vision of the world – one where all human beings enjoy the right to a secure, decent and meaningful life without exceeding planetary limits. Beyond fulfilling the</w:t>
      </w:r>
      <w:r>
        <w:rPr>
          <w:rFonts w:ascii="Garamond" w:hAnsi="Garamond" w:cs="Helvetica"/>
          <w:sz w:val="24"/>
          <w:szCs w:val="24"/>
        </w:rPr>
        <w:t xml:space="preserve"> unmet</w:t>
      </w:r>
      <w:r w:rsidRPr="00872784">
        <w:rPr>
          <w:rFonts w:ascii="Garamond" w:hAnsi="Garamond" w:cs="Helvetica"/>
          <w:sz w:val="24"/>
          <w:szCs w:val="24"/>
        </w:rPr>
        <w:t xml:space="preserve"> Millennium Development Goals (MDGs), they will also strive for changes in diverse areas such as energy sector transformation, better monitoring of development efforts, education for global citizenship, tax justice, gender equality, the protection of biodiversity, democratic participation by citizens in decision-making processes and access to justice.</w:t>
      </w:r>
      <w:r w:rsidRPr="00872784">
        <w:rPr>
          <w:rStyle w:val="FootnoteReference"/>
          <w:rFonts w:ascii="Garamond" w:hAnsi="Garamond"/>
          <w:sz w:val="24"/>
          <w:szCs w:val="24"/>
        </w:rPr>
        <w:footnoteReference w:id="27"/>
      </w:r>
    </w:p>
    <w:p w:rsidR="0068201B" w:rsidRPr="00872784" w:rsidRDefault="0068201B" w:rsidP="001430A1">
      <w:pPr>
        <w:spacing w:line="240" w:lineRule="auto"/>
        <w:jc w:val="both"/>
        <w:rPr>
          <w:rFonts w:ascii="Garamond" w:hAnsi="Garamond"/>
          <w:sz w:val="24"/>
          <w:szCs w:val="24"/>
        </w:rPr>
      </w:pPr>
      <w:r w:rsidRPr="00872784">
        <w:rPr>
          <w:rFonts w:ascii="Garamond" w:hAnsi="Garamond"/>
          <w:sz w:val="24"/>
          <w:szCs w:val="24"/>
        </w:rPr>
        <w:t xml:space="preserve">FoRS sees the European Year for Development as an opportunity to draw public and political attention towards the global </w:t>
      </w:r>
      <w:r>
        <w:rPr>
          <w:rFonts w:ascii="Garamond" w:hAnsi="Garamond"/>
          <w:sz w:val="24"/>
          <w:szCs w:val="24"/>
        </w:rPr>
        <w:t xml:space="preserve">development </w:t>
      </w:r>
      <w:r w:rsidRPr="00872784">
        <w:rPr>
          <w:rFonts w:ascii="Garamond" w:hAnsi="Garamond"/>
          <w:sz w:val="24"/>
          <w:szCs w:val="24"/>
        </w:rPr>
        <w:t xml:space="preserve">problems. FoRS will aim both to raise awareness, and to engage in the policy debates by clarifying </w:t>
      </w:r>
      <w:r>
        <w:rPr>
          <w:rFonts w:ascii="Garamond" w:hAnsi="Garamond"/>
          <w:sz w:val="24"/>
          <w:szCs w:val="24"/>
        </w:rPr>
        <w:t>Czech</w:t>
      </w:r>
      <w:r w:rsidRPr="00872784">
        <w:rPr>
          <w:rFonts w:ascii="Garamond" w:hAnsi="Garamond"/>
          <w:sz w:val="24"/>
          <w:szCs w:val="24"/>
        </w:rPr>
        <w:t xml:space="preserve"> position </w:t>
      </w:r>
      <w:r>
        <w:rPr>
          <w:rFonts w:ascii="Garamond" w:hAnsi="Garamond"/>
          <w:sz w:val="24"/>
          <w:szCs w:val="24"/>
        </w:rPr>
        <w:t>to</w:t>
      </w:r>
      <w:r w:rsidRPr="00872784">
        <w:rPr>
          <w:rFonts w:ascii="Garamond" w:hAnsi="Garamond"/>
          <w:sz w:val="24"/>
          <w:szCs w:val="24"/>
        </w:rPr>
        <w:t xml:space="preserve"> the </w:t>
      </w:r>
      <w:r>
        <w:rPr>
          <w:rFonts w:ascii="Garamond" w:hAnsi="Garamond"/>
          <w:sz w:val="24"/>
          <w:szCs w:val="24"/>
        </w:rPr>
        <w:t>p</w:t>
      </w:r>
      <w:r w:rsidRPr="00872784">
        <w:rPr>
          <w:rFonts w:ascii="Garamond" w:hAnsi="Garamond"/>
          <w:sz w:val="24"/>
          <w:szCs w:val="24"/>
        </w:rPr>
        <w:t>ost-2015 global framework (post-MDGs/SDGs – Sustainable Development Goals). CSOs will also support the Czech negotiations in the United Nations and the European Council and will contribute to CONCORD, Beyond2015, and CPDE initiatives. In addition, FoRS</w:t>
      </w:r>
      <w:r w:rsidRPr="00872784">
        <w:rPr>
          <w:rFonts w:ascii="Garamond" w:hAnsi="Garamond"/>
          <w:color w:val="0070C0"/>
          <w:sz w:val="24"/>
          <w:szCs w:val="24"/>
        </w:rPr>
        <w:t xml:space="preserve"> </w:t>
      </w:r>
      <w:r w:rsidRPr="00872784">
        <w:rPr>
          <w:rFonts w:ascii="Garamond" w:hAnsi="Garamond"/>
          <w:sz w:val="24"/>
          <w:szCs w:val="24"/>
        </w:rPr>
        <w:t>aims to increase dialogue and cooperation with the private sector, especially with the Czech Business Council for Sustainable Development and the Platform of Entrepreneurs for International Development Cooperation.</w:t>
      </w:r>
      <w:r w:rsidRPr="00872784">
        <w:rPr>
          <w:rStyle w:val="FootnoteReference"/>
          <w:rFonts w:ascii="Garamond" w:hAnsi="Garamond"/>
          <w:sz w:val="24"/>
          <w:szCs w:val="24"/>
        </w:rPr>
        <w:footnoteReference w:id="28"/>
      </w:r>
    </w:p>
    <w:p w:rsidR="0068201B" w:rsidRPr="00872784" w:rsidRDefault="0068201B" w:rsidP="00D24646">
      <w:pPr>
        <w:pStyle w:val="ListParagraph"/>
        <w:numPr>
          <w:ilvl w:val="0"/>
          <w:numId w:val="1"/>
        </w:numPr>
        <w:spacing w:line="240" w:lineRule="auto"/>
        <w:ind w:left="360"/>
        <w:jc w:val="both"/>
        <w:rPr>
          <w:rFonts w:ascii="Garamond" w:hAnsi="Garamond" w:cs="Calibri"/>
          <w:b/>
          <w:i/>
          <w:sz w:val="24"/>
          <w:szCs w:val="24"/>
        </w:rPr>
      </w:pPr>
      <w:r w:rsidRPr="00872784">
        <w:rPr>
          <w:rFonts w:ascii="Garamond" w:hAnsi="Garamond" w:cs="Calibri"/>
          <w:b/>
          <w:i/>
          <w:sz w:val="24"/>
          <w:szCs w:val="24"/>
        </w:rPr>
        <w:t>The socio-cultural context</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Respect for diverse cultural, social and political views</w:t>
      </w:r>
    </w:p>
    <w:p w:rsidR="0068201B" w:rsidRPr="00872784" w:rsidRDefault="0068201B" w:rsidP="001430A1">
      <w:pPr>
        <w:spacing w:line="240" w:lineRule="auto"/>
        <w:jc w:val="both"/>
        <w:rPr>
          <w:rFonts w:ascii="Garamond" w:hAnsi="Garamond" w:cs="Calibri"/>
          <w:sz w:val="24"/>
          <w:szCs w:val="24"/>
        </w:rPr>
      </w:pPr>
      <w:r w:rsidRPr="00872784">
        <w:rPr>
          <w:rFonts w:ascii="Garamond" w:hAnsi="Garamond" w:cs="Calibri"/>
          <w:color w:val="000000"/>
          <w:sz w:val="24"/>
          <w:szCs w:val="24"/>
        </w:rPr>
        <w:t xml:space="preserve">MFA and CZDA recognize and in general respect the diverse cultural contexts of countries where Czech ODA projects are implemented. </w:t>
      </w:r>
      <w:r w:rsidRPr="00872784">
        <w:rPr>
          <w:rFonts w:ascii="Garamond" w:hAnsi="Garamond" w:cs="Calibri"/>
          <w:sz w:val="24"/>
          <w:szCs w:val="24"/>
        </w:rPr>
        <w:t>On the other hand, development diplomats in partner countries are still often missing and the role of Embassies is unclear. There is insufficient political and financial support for in-depth research on development issues or for enabling CSOs to conduct such research</w:t>
      </w:r>
      <w:r>
        <w:rPr>
          <w:rFonts w:ascii="Garamond" w:hAnsi="Garamond" w:cs="Calibri"/>
          <w:sz w:val="24"/>
          <w:szCs w:val="24"/>
        </w:rPr>
        <w:t xml:space="preserve"> (within limited budget for bilateral cooperation)</w:t>
      </w:r>
      <w:r w:rsidRPr="00872784">
        <w:rPr>
          <w:rFonts w:ascii="Garamond" w:hAnsi="Garamond" w:cs="Calibri"/>
          <w:sz w:val="24"/>
          <w:szCs w:val="24"/>
        </w:rPr>
        <w:t>. Some surveys, advocacy or policy activities, trainings, conferences or internships can be partially funded from the ODA program</w:t>
      </w:r>
      <w:r>
        <w:rPr>
          <w:rFonts w:ascii="Garamond" w:hAnsi="Garamond" w:cs="Calibri"/>
          <w:sz w:val="24"/>
          <w:szCs w:val="24"/>
        </w:rPr>
        <w:t>me</w:t>
      </w:r>
      <w:r w:rsidRPr="00872784">
        <w:rPr>
          <w:rFonts w:ascii="Garamond" w:hAnsi="Garamond" w:cs="Calibri"/>
          <w:sz w:val="24"/>
          <w:szCs w:val="24"/>
        </w:rPr>
        <w:t>s for CSOs.</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Recognition of rights and freedoms affecting CSOs, and public recognition of civil society</w:t>
      </w:r>
    </w:p>
    <w:p w:rsidR="0068201B" w:rsidRPr="00872784" w:rsidRDefault="0068201B" w:rsidP="00072D3D">
      <w:pPr>
        <w:spacing w:after="120" w:line="240" w:lineRule="auto"/>
        <w:jc w:val="both"/>
        <w:rPr>
          <w:rFonts w:ascii="Garamond" w:hAnsi="Garamond" w:cs="Calibri"/>
          <w:color w:val="000000"/>
          <w:sz w:val="24"/>
          <w:szCs w:val="24"/>
        </w:rPr>
      </w:pPr>
      <w:r w:rsidRPr="00872784">
        <w:rPr>
          <w:rFonts w:ascii="Garamond" w:hAnsi="Garamond" w:cs="Calibri"/>
          <w:sz w:val="24"/>
          <w:szCs w:val="24"/>
        </w:rPr>
        <w:t>Though fundamental rights and freedoms are well recognized, s</w:t>
      </w:r>
      <w:r w:rsidRPr="00872784">
        <w:rPr>
          <w:rFonts w:ascii="Garamond" w:hAnsi="Garamond" w:cs="Calibri"/>
          <w:color w:val="000000"/>
          <w:sz w:val="24"/>
          <w:szCs w:val="24"/>
        </w:rPr>
        <w:t>ome minority groups, including</w:t>
      </w:r>
      <w:r>
        <w:rPr>
          <w:rFonts w:ascii="Garamond" w:hAnsi="Garamond" w:cs="Calibri"/>
          <w:color w:val="000000"/>
          <w:sz w:val="24"/>
          <w:szCs w:val="24"/>
        </w:rPr>
        <w:t xml:space="preserve"> </w:t>
      </w:r>
      <w:r w:rsidRPr="00872784">
        <w:rPr>
          <w:rFonts w:ascii="Garamond" w:hAnsi="Garamond" w:cs="Calibri"/>
          <w:color w:val="000000"/>
          <w:sz w:val="24"/>
          <w:szCs w:val="24"/>
        </w:rPr>
        <w:t>small NGOs, do not have access to national or European funding schemes</w:t>
      </w:r>
      <w:r>
        <w:rPr>
          <w:rFonts w:ascii="Garamond" w:hAnsi="Garamond" w:cs="Calibri"/>
          <w:color w:val="000000"/>
          <w:sz w:val="24"/>
          <w:szCs w:val="24"/>
        </w:rPr>
        <w:t xml:space="preserve"> due to restrictive eligibility criteria or due to the required co-financing</w:t>
      </w:r>
      <w:r w:rsidRPr="00872784">
        <w:rPr>
          <w:rFonts w:ascii="Garamond" w:hAnsi="Garamond" w:cs="Calibri"/>
          <w:color w:val="000000"/>
          <w:sz w:val="24"/>
          <w:szCs w:val="24"/>
        </w:rPr>
        <w:t>. Some politicians also still challenge the role of CSO sector – this may relate to the fact that this relatively new sector was created only after the “velvet revolution” of 1989.</w:t>
      </w:r>
    </w:p>
    <w:p w:rsidR="0068201B" w:rsidRPr="00872784" w:rsidRDefault="0068201B" w:rsidP="00072D3D">
      <w:pPr>
        <w:spacing w:after="120" w:line="240" w:lineRule="auto"/>
        <w:jc w:val="both"/>
        <w:rPr>
          <w:rFonts w:ascii="Garamond" w:hAnsi="Garamond" w:cs="Calibri"/>
          <w:color w:val="FF0000"/>
          <w:sz w:val="24"/>
          <w:szCs w:val="24"/>
        </w:rPr>
      </w:pPr>
      <w:r w:rsidRPr="00872784">
        <w:rPr>
          <w:rFonts w:ascii="Garamond" w:hAnsi="Garamond" w:cs="Calibri"/>
          <w:sz w:val="24"/>
          <w:szCs w:val="24"/>
        </w:rPr>
        <w:t>Lately, the role of CSOs in addressing development challenges has been well-received by the mainstream and social media.</w:t>
      </w:r>
      <w:r>
        <w:rPr>
          <w:rFonts w:ascii="Garamond" w:hAnsi="Garamond" w:cs="Calibri"/>
          <w:sz w:val="24"/>
          <w:szCs w:val="24"/>
        </w:rPr>
        <w:t xml:space="preserve"> </w:t>
      </w:r>
      <w:r w:rsidRPr="00872784">
        <w:rPr>
          <w:rFonts w:ascii="Garamond" w:hAnsi="Garamond" w:cs="Calibri"/>
          <w:sz w:val="24"/>
          <w:szCs w:val="24"/>
        </w:rPr>
        <w:t>The public appreciates real life stories and the visible outcomes of development interventions.</w:t>
      </w:r>
    </w:p>
    <w:p w:rsidR="0068201B" w:rsidRPr="00872784" w:rsidRDefault="0068201B" w:rsidP="00072D3D">
      <w:pPr>
        <w:spacing w:after="120" w:line="240" w:lineRule="auto"/>
        <w:jc w:val="both"/>
        <w:rPr>
          <w:rFonts w:ascii="Garamond" w:hAnsi="Garamond" w:cs="Calibri"/>
          <w:color w:val="000000"/>
          <w:sz w:val="24"/>
          <w:szCs w:val="24"/>
        </w:rPr>
      </w:pPr>
      <w:r w:rsidRPr="00872784">
        <w:rPr>
          <w:rFonts w:ascii="Garamond" w:hAnsi="Garamond" w:cs="Calibri"/>
          <w:bCs/>
          <w:color w:val="000000"/>
          <w:sz w:val="24"/>
          <w:szCs w:val="24"/>
        </w:rPr>
        <w:t xml:space="preserve">Czech citizens´ support for development cooperation and humanitarian aid was confirmed by the results of the annual </w:t>
      </w:r>
      <w:r w:rsidRPr="009614EE">
        <w:rPr>
          <w:rFonts w:ascii="Garamond" w:hAnsi="Garamond" w:cs="Calibri"/>
          <w:bCs/>
          <w:i/>
          <w:color w:val="000000"/>
          <w:sz w:val="24"/>
          <w:szCs w:val="24"/>
        </w:rPr>
        <w:t>Eurobaromet</w:t>
      </w:r>
      <w:r>
        <w:rPr>
          <w:rFonts w:ascii="Garamond" w:hAnsi="Garamond" w:cs="Calibri"/>
          <w:bCs/>
          <w:i/>
          <w:color w:val="000000"/>
          <w:sz w:val="24"/>
          <w:szCs w:val="24"/>
        </w:rPr>
        <w:t>e</w:t>
      </w:r>
      <w:r w:rsidRPr="009614EE">
        <w:rPr>
          <w:rFonts w:ascii="Garamond" w:hAnsi="Garamond" w:cs="Calibri"/>
          <w:bCs/>
          <w:i/>
          <w:color w:val="000000"/>
          <w:sz w:val="24"/>
          <w:szCs w:val="24"/>
        </w:rPr>
        <w:t>r</w:t>
      </w:r>
      <w:r w:rsidRPr="00872784">
        <w:rPr>
          <w:rFonts w:ascii="Garamond" w:hAnsi="Garamond" w:cs="Calibri"/>
          <w:bCs/>
          <w:color w:val="000000"/>
          <w:sz w:val="24"/>
          <w:szCs w:val="24"/>
        </w:rPr>
        <w:t xml:space="preserve"> opinion poll</w:t>
      </w:r>
      <w:r w:rsidRPr="00872784">
        <w:rPr>
          <w:rStyle w:val="Znakapoznpodarou2"/>
          <w:rFonts w:ascii="Garamond" w:hAnsi="Garamond" w:cs="Calibri"/>
          <w:color w:val="000000"/>
          <w:sz w:val="24"/>
          <w:szCs w:val="24"/>
        </w:rPr>
        <w:footnoteReference w:id="29"/>
      </w:r>
      <w:r>
        <w:rPr>
          <w:rFonts w:ascii="Garamond" w:hAnsi="Garamond" w:cs="Calibri"/>
          <w:bCs/>
          <w:color w:val="000000"/>
          <w:sz w:val="24"/>
          <w:szCs w:val="24"/>
        </w:rPr>
        <w:t>,</w:t>
      </w:r>
      <w:r w:rsidRPr="00872784">
        <w:rPr>
          <w:rFonts w:ascii="Garamond" w:hAnsi="Garamond" w:cs="Calibri"/>
          <w:color w:val="000000"/>
          <w:sz w:val="24"/>
          <w:szCs w:val="24"/>
        </w:rPr>
        <w:t xml:space="preserve"> and the opinion poll commissioned in 2013 by FoRS and carried out by NMS Market Research agency (1210 respondents).</w:t>
      </w:r>
      <w:r w:rsidRPr="00872784">
        <w:rPr>
          <w:rStyle w:val="FootnoteReference"/>
          <w:rFonts w:ascii="Garamond" w:hAnsi="Garamond"/>
          <w:color w:val="000000"/>
          <w:sz w:val="24"/>
          <w:szCs w:val="24"/>
        </w:rPr>
        <w:footnoteReference w:id="30"/>
      </w:r>
    </w:p>
    <w:p w:rsidR="0068201B" w:rsidRPr="00872784" w:rsidRDefault="0068201B" w:rsidP="00832797">
      <w:pPr>
        <w:spacing w:line="240" w:lineRule="auto"/>
        <w:jc w:val="both"/>
        <w:rPr>
          <w:rFonts w:ascii="Garamond" w:hAnsi="Garamond" w:cs="Calibri"/>
          <w:color w:val="000000"/>
          <w:sz w:val="24"/>
          <w:szCs w:val="24"/>
        </w:rPr>
      </w:pPr>
      <w:r w:rsidRPr="00872784">
        <w:rPr>
          <w:rFonts w:ascii="Garamond" w:hAnsi="Garamond" w:cs="Calibri"/>
          <w:color w:val="000000"/>
          <w:sz w:val="24"/>
          <w:szCs w:val="24"/>
        </w:rPr>
        <w:t xml:space="preserve">According to the results of the </w:t>
      </w:r>
      <w:r>
        <w:rPr>
          <w:rFonts w:ascii="Garamond" w:hAnsi="Garamond" w:cs="Calibri"/>
          <w:color w:val="000000"/>
          <w:sz w:val="24"/>
          <w:szCs w:val="24"/>
        </w:rPr>
        <w:t xml:space="preserve">FoRS </w:t>
      </w:r>
      <w:r w:rsidRPr="00872784">
        <w:rPr>
          <w:rFonts w:ascii="Garamond" w:hAnsi="Garamond" w:cs="Calibri"/>
          <w:color w:val="000000"/>
          <w:sz w:val="24"/>
          <w:szCs w:val="24"/>
        </w:rPr>
        <w:t xml:space="preserve">survey, non-profit organizations should be the main recipients of financial resources for humanitarian aid and development cooperation. </w:t>
      </w:r>
      <w:r w:rsidRPr="00872784">
        <w:rPr>
          <w:rFonts w:ascii="Garamond" w:hAnsi="Garamond" w:cs="Calibri"/>
          <w:bCs/>
          <w:color w:val="000000"/>
          <w:sz w:val="24"/>
          <w:szCs w:val="24"/>
        </w:rPr>
        <w:t>Traditional big NGOs - two of them are FoRS members - rank among the best known non-profit organizations, partly due to their engagement during humanitarian crises,</w:t>
      </w:r>
      <w:r>
        <w:rPr>
          <w:rFonts w:ascii="Garamond" w:hAnsi="Garamond" w:cs="Calibri"/>
          <w:bCs/>
          <w:color w:val="000000"/>
          <w:sz w:val="24"/>
          <w:szCs w:val="24"/>
        </w:rPr>
        <w:t xml:space="preserve"> </w:t>
      </w:r>
      <w:r w:rsidRPr="00872784">
        <w:rPr>
          <w:rFonts w:ascii="Garamond" w:hAnsi="Garamond" w:cs="Calibri"/>
          <w:bCs/>
          <w:color w:val="000000"/>
          <w:sz w:val="24"/>
          <w:szCs w:val="24"/>
        </w:rPr>
        <w:t>e.g. after the typhoon Haiyan in Philippines.</w:t>
      </w:r>
      <w:r w:rsidRPr="00872784">
        <w:rPr>
          <w:rFonts w:ascii="Garamond" w:hAnsi="Garamond" w:cs="Calibri"/>
          <w:color w:val="000000"/>
          <w:sz w:val="24"/>
          <w:szCs w:val="24"/>
        </w:rPr>
        <w:t xml:space="preserve"> The main argument that would persuade people to financially contribute is the guarantee that their money will get where it is intended to. The main motives of both ODA and humanitarian aid were assistance to people in need, improvement of health situation in poor countries, and ethical and moral motivations. Support for education is also important as well as maintaining the positive image of the Czech Republic in the international arena. On the other hand, support for the Czech economy and domestic businesses, as so often mentioned by politicians, does not belong among the key motivations for ODA according to respondents. In addition, 75% of respondents support at least maintaining or increasing the ODA budget, and 85% of respondents support teaching the topic of global responsibility in schools.</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CSOs do not discriminate</w:t>
      </w:r>
    </w:p>
    <w:p w:rsidR="0068201B" w:rsidRPr="00872784" w:rsidRDefault="0068201B" w:rsidP="00F3111E">
      <w:pPr>
        <w:shd w:val="clear" w:color="auto" w:fill="FFFFFF"/>
        <w:spacing w:line="240" w:lineRule="auto"/>
        <w:jc w:val="both"/>
        <w:rPr>
          <w:rFonts w:ascii="Garamond" w:hAnsi="Garamond" w:cs="Calibri"/>
          <w:sz w:val="24"/>
          <w:szCs w:val="24"/>
        </w:rPr>
      </w:pPr>
      <w:r w:rsidRPr="00872784">
        <w:rPr>
          <w:rFonts w:ascii="Garamond" w:hAnsi="Garamond" w:cs="Calibri"/>
          <w:sz w:val="24"/>
          <w:szCs w:val="24"/>
        </w:rPr>
        <w:t xml:space="preserve">In the annual self-assessment carried out by FoRS members on the basis of the Code on Effectiveness, respect for human rights and gender equality has constantly been very well evaluated (“…members and observers strive to improve the situation of socially excluded and other vulnerable groups and to strengthen their role in the society with special attention to women and girls´ empowerment…”). </w:t>
      </w:r>
      <w:r>
        <w:rPr>
          <w:rFonts w:ascii="Garamond" w:hAnsi="Garamond" w:cs="Calibri"/>
          <w:sz w:val="24"/>
          <w:szCs w:val="24"/>
        </w:rPr>
        <w:t xml:space="preserve">The responsible approaches in this regard are confirmed by peer-reviews among the members and by concrete projects directly focused on these issues. </w:t>
      </w:r>
      <w:r w:rsidRPr="00872784">
        <w:rPr>
          <w:rFonts w:ascii="Garamond" w:hAnsi="Garamond" w:cs="Calibri"/>
          <w:sz w:val="24"/>
          <w:szCs w:val="24"/>
        </w:rPr>
        <w:t>The joint communication framework of FoRS proposes a series of rules including respect to those values that aim at achieving sustainable development, eradication of extreme poverty, achieving gender equality, meet human rights and prevent and peacefully resolve conflicts; and not criticize or defame the work of other NGOs without any serious ethical motive.</w:t>
      </w:r>
      <w:r w:rsidRPr="00872784">
        <w:rPr>
          <w:rStyle w:val="FootnoteReference"/>
          <w:rFonts w:ascii="Garamond" w:hAnsi="Garamond"/>
          <w:sz w:val="24"/>
          <w:szCs w:val="24"/>
        </w:rPr>
        <w:footnoteReference w:id="31"/>
      </w:r>
    </w:p>
    <w:p w:rsidR="0068201B" w:rsidRPr="00872784" w:rsidRDefault="0068201B" w:rsidP="00D24646">
      <w:pPr>
        <w:pStyle w:val="ListParagraph"/>
        <w:numPr>
          <w:ilvl w:val="0"/>
          <w:numId w:val="1"/>
        </w:numPr>
        <w:spacing w:line="240" w:lineRule="auto"/>
        <w:ind w:left="360"/>
        <w:jc w:val="both"/>
        <w:rPr>
          <w:rFonts w:ascii="Garamond" w:hAnsi="Garamond" w:cs="Calibri"/>
          <w:b/>
          <w:i/>
          <w:sz w:val="24"/>
          <w:szCs w:val="24"/>
        </w:rPr>
      </w:pPr>
      <w:r w:rsidRPr="00872784">
        <w:rPr>
          <w:rFonts w:ascii="Garamond" w:hAnsi="Garamond" w:cs="Calibri"/>
          <w:b/>
          <w:i/>
          <w:sz w:val="24"/>
          <w:szCs w:val="24"/>
        </w:rPr>
        <w:t>The socioeconomic context</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Broadly shared understanding of the structural causes of poverty and inequality</w:t>
      </w:r>
    </w:p>
    <w:p w:rsidR="0068201B" w:rsidRPr="00872784" w:rsidRDefault="0068201B" w:rsidP="007F21F0">
      <w:pPr>
        <w:spacing w:after="120" w:line="240" w:lineRule="auto"/>
        <w:jc w:val="both"/>
        <w:rPr>
          <w:rFonts w:ascii="Garamond" w:hAnsi="Garamond" w:cs="Calibri"/>
          <w:bCs/>
          <w:color w:val="000000"/>
          <w:sz w:val="24"/>
          <w:szCs w:val="24"/>
        </w:rPr>
      </w:pPr>
      <w:r w:rsidRPr="00872784">
        <w:rPr>
          <w:rFonts w:ascii="Garamond" w:hAnsi="Garamond" w:cs="Calibri"/>
          <w:bCs/>
          <w:color w:val="000000"/>
          <w:sz w:val="24"/>
          <w:szCs w:val="24"/>
        </w:rPr>
        <w:t>Attention to the complex causes of poverty and inequality frame Czech development cooperation, as reflected in relevant policy documents.</w:t>
      </w:r>
    </w:p>
    <w:p w:rsidR="0068201B" w:rsidRPr="00872784" w:rsidRDefault="0068201B" w:rsidP="007F21F0">
      <w:pPr>
        <w:spacing w:line="240" w:lineRule="auto"/>
        <w:jc w:val="both"/>
        <w:rPr>
          <w:rFonts w:ascii="Garamond" w:hAnsi="Garamond" w:cs="Calibri"/>
          <w:bCs/>
          <w:color w:val="000000"/>
          <w:sz w:val="24"/>
          <w:szCs w:val="24"/>
        </w:rPr>
      </w:pPr>
      <w:r w:rsidRPr="00872784">
        <w:rPr>
          <w:rFonts w:ascii="Garamond" w:hAnsi="Garamond" w:cs="Calibri"/>
          <w:bCs/>
          <w:color w:val="000000"/>
          <w:sz w:val="24"/>
          <w:szCs w:val="24"/>
        </w:rPr>
        <w:t>Funding mechanisms are formally responsive to priorities of CSOs and governments in partner countries, but there are legal constraints for decentralized funding</w:t>
      </w:r>
      <w:r>
        <w:rPr>
          <w:rFonts w:ascii="Garamond" w:hAnsi="Garamond" w:cs="Calibri"/>
          <w:bCs/>
          <w:color w:val="000000"/>
          <w:sz w:val="24"/>
          <w:szCs w:val="24"/>
        </w:rPr>
        <w:t>;</w:t>
      </w:r>
      <w:r w:rsidRPr="00872784">
        <w:rPr>
          <w:rFonts w:ascii="Garamond" w:hAnsi="Garamond" w:cs="Calibri"/>
          <w:bCs/>
          <w:color w:val="000000"/>
          <w:sz w:val="24"/>
          <w:szCs w:val="24"/>
        </w:rPr>
        <w:t xml:space="preserve"> only the Small Grant Scheme for Embassies has been allowed. After the Czech Republic became a DAC member, the commitment on untied aid has become more urgent. FoRS started preparation of an analysis on this topic which will include a participatory dialogue with the members on potential effects and impacts.</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Reliable funding mechanisms for CSOs</w:t>
      </w:r>
    </w:p>
    <w:p w:rsidR="0068201B" w:rsidRPr="00872784" w:rsidRDefault="0068201B" w:rsidP="00820F41">
      <w:pPr>
        <w:spacing w:line="240" w:lineRule="auto"/>
        <w:jc w:val="both"/>
        <w:rPr>
          <w:rFonts w:ascii="Garamond" w:hAnsi="Garamond" w:cs="Calibri"/>
          <w:bCs/>
          <w:color w:val="000000"/>
          <w:sz w:val="24"/>
          <w:szCs w:val="24"/>
        </w:rPr>
      </w:pPr>
      <w:r w:rsidRPr="00872784">
        <w:rPr>
          <w:rFonts w:ascii="Garamond" w:hAnsi="Garamond" w:cs="Calibri"/>
          <w:bCs/>
          <w:color w:val="000000"/>
          <w:sz w:val="24"/>
          <w:szCs w:val="24"/>
        </w:rPr>
        <w:t xml:space="preserve">Funding mechanisms for CSOs are in general reliable, transparent, easy to understand, and disbursed impartially. CSOs contribute to poverty alleviation and equitable development through community work, on-the-ground service delivery, capacity building, policy advocacy and lobbying. On the other hand, the ODA budget does not respond to emerging needs </w:t>
      </w:r>
      <w:r>
        <w:rPr>
          <w:rFonts w:ascii="Garamond" w:hAnsi="Garamond" w:cs="Calibri"/>
          <w:bCs/>
          <w:color w:val="000000"/>
          <w:sz w:val="24"/>
          <w:szCs w:val="24"/>
        </w:rPr>
        <w:t xml:space="preserve">and to the </w:t>
      </w:r>
      <w:r w:rsidRPr="00872784">
        <w:rPr>
          <w:rFonts w:ascii="Garamond" w:hAnsi="Garamond" w:cs="Calibri"/>
          <w:bCs/>
          <w:color w:val="000000"/>
          <w:sz w:val="24"/>
          <w:szCs w:val="24"/>
        </w:rPr>
        <w:t>international commitments</w:t>
      </w:r>
      <w:r>
        <w:rPr>
          <w:rFonts w:ascii="Garamond" w:hAnsi="Garamond" w:cs="Calibri"/>
          <w:bCs/>
          <w:color w:val="000000"/>
          <w:sz w:val="24"/>
          <w:szCs w:val="24"/>
        </w:rPr>
        <w:t>. T</w:t>
      </w:r>
      <w:r w:rsidRPr="00872784">
        <w:rPr>
          <w:rFonts w:ascii="Garamond" w:hAnsi="Garamond" w:cs="Calibri"/>
          <w:bCs/>
          <w:color w:val="000000"/>
          <w:sz w:val="24"/>
          <w:szCs w:val="24"/>
        </w:rPr>
        <w:t>here is still low predictability and no long-term program</w:t>
      </w:r>
      <w:r>
        <w:rPr>
          <w:rFonts w:ascii="Garamond" w:hAnsi="Garamond" w:cs="Calibri"/>
          <w:bCs/>
          <w:color w:val="000000"/>
          <w:sz w:val="24"/>
          <w:szCs w:val="24"/>
        </w:rPr>
        <w:t>me</w:t>
      </w:r>
      <w:r w:rsidRPr="00872784">
        <w:rPr>
          <w:rFonts w:ascii="Garamond" w:hAnsi="Garamond" w:cs="Calibri"/>
          <w:bCs/>
          <w:color w:val="000000"/>
          <w:sz w:val="24"/>
          <w:szCs w:val="24"/>
        </w:rPr>
        <w:t xml:space="preserve"> funding. In addition, due to the modest ODA budget and due to inappropriate appraisal criteria even the approved projects get their budgets cut. This approach challenges the basic principles of effectiveness and accountability for results.</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CSOs´ policy and advocacy</w:t>
      </w:r>
    </w:p>
    <w:p w:rsidR="0068201B" w:rsidRPr="00872784" w:rsidRDefault="0068201B" w:rsidP="0026233E">
      <w:pPr>
        <w:spacing w:after="120" w:line="240" w:lineRule="auto"/>
        <w:jc w:val="both"/>
        <w:rPr>
          <w:rFonts w:ascii="Garamond" w:hAnsi="Garamond" w:cs="Calibri"/>
          <w:bCs/>
          <w:color w:val="000000"/>
          <w:sz w:val="24"/>
          <w:szCs w:val="24"/>
        </w:rPr>
      </w:pPr>
      <w:r w:rsidRPr="00872784">
        <w:rPr>
          <w:rFonts w:ascii="Garamond" w:hAnsi="Garamond" w:cs="Calibri"/>
          <w:bCs/>
          <w:color w:val="000000"/>
          <w:sz w:val="24"/>
          <w:szCs w:val="24"/>
        </w:rPr>
        <w:t>Besides basic requirements on meeting the commitments on increasing ODA budget, FoRS requires more proportionate disbursement of financial resources for priority sectors of the Czech bilateral ODA -</w:t>
      </w:r>
      <w:r>
        <w:rPr>
          <w:rFonts w:ascii="Garamond" w:hAnsi="Garamond" w:cs="Calibri"/>
          <w:bCs/>
          <w:color w:val="000000"/>
          <w:sz w:val="24"/>
          <w:szCs w:val="24"/>
        </w:rPr>
        <w:t xml:space="preserve"> </w:t>
      </w:r>
      <w:r w:rsidRPr="00872784">
        <w:rPr>
          <w:rFonts w:ascii="Garamond" w:hAnsi="Garamond" w:cs="Calibri"/>
          <w:bCs/>
          <w:color w:val="000000"/>
          <w:sz w:val="24"/>
          <w:szCs w:val="24"/>
        </w:rPr>
        <w:t>in particular, for education, good governance, and civil society. Czech ODA should focus on sectors where the Czech Republic can use the added values and own transition experience. These sectors do not necessarily need to belong to the priority sectors of central governments or big international donors but they are still essential for sustainable development. Educational, social and infrastructure projects implemented with the cooperation of various actors should complement each other and enhance their impacts and sustainability. These joint approaches should be reflected in complex programming. However, in the education sector the budget decreased from 1.12 million EUR in 2014 to 0.83 million EUR in 2015. 60% of the Czech bilateral ODA budget is allocated for the projects in the sectors of water and sanitation, agriculture, and energy.</w:t>
      </w:r>
      <w:r w:rsidRPr="00872784">
        <w:rPr>
          <w:rFonts w:ascii="Garamond" w:hAnsi="Garamond" w:cs="Calibri"/>
          <w:bCs/>
          <w:color w:val="000000"/>
          <w:sz w:val="24"/>
          <w:szCs w:val="24"/>
          <w:vertAlign w:val="superscript"/>
        </w:rPr>
        <w:footnoteReference w:id="32"/>
      </w:r>
    </w:p>
    <w:p w:rsidR="0068201B" w:rsidRPr="00ED18BB" w:rsidRDefault="0068201B" w:rsidP="00ED18BB">
      <w:pPr>
        <w:spacing w:after="0" w:line="240" w:lineRule="auto"/>
        <w:jc w:val="both"/>
        <w:rPr>
          <w:rFonts w:ascii="Garamond" w:hAnsi="Garamond" w:cs="Calibri"/>
          <w:sz w:val="24"/>
          <w:szCs w:val="24"/>
        </w:rPr>
      </w:pPr>
      <w:r w:rsidRPr="00872784">
        <w:rPr>
          <w:rFonts w:ascii="Garamond" w:hAnsi="Garamond" w:cs="Calibri"/>
          <w:bCs/>
          <w:color w:val="000000"/>
          <w:sz w:val="24"/>
          <w:szCs w:val="24"/>
        </w:rPr>
        <w:t xml:space="preserve">In order to increase effectiveness and contribution to poverty reduction and environmental sustainability, development CSOs have adopted their own commitments in the Istanbul Principles, with special emphasis on democratic participation, human rights based approaches, and gender equality. FoRS approved its Code on Effectiveness in 2011 and continues its monitoring initiatives through annual self-assessment and peer-reviews. </w:t>
      </w:r>
      <w:r>
        <w:rPr>
          <w:rFonts w:ascii="Garamond" w:hAnsi="Garamond" w:cs="Calibri"/>
          <w:bCs/>
          <w:color w:val="000000"/>
          <w:sz w:val="24"/>
          <w:szCs w:val="24"/>
        </w:rPr>
        <w:t xml:space="preserve">The self-assessments have continually revealed two strongest areas: 1) </w:t>
      </w:r>
      <w:r w:rsidRPr="00872784">
        <w:rPr>
          <w:rFonts w:ascii="Garamond" w:hAnsi="Garamond" w:cs="Calibri"/>
          <w:sz w:val="24"/>
          <w:szCs w:val="24"/>
        </w:rPr>
        <w:t>respect for human rights and gender equality</w:t>
      </w:r>
      <w:r>
        <w:rPr>
          <w:rFonts w:ascii="Garamond" w:hAnsi="Garamond" w:cs="Calibri"/>
          <w:sz w:val="24"/>
          <w:szCs w:val="24"/>
        </w:rPr>
        <w:t xml:space="preserve"> and 2) transparency and accountability. On the contrary, the weakest area has been a</w:t>
      </w:r>
      <w:r w:rsidRPr="00ED18BB">
        <w:rPr>
          <w:rFonts w:ascii="Garamond" w:hAnsi="Garamond" w:cs="Calibri"/>
          <w:sz w:val="24"/>
          <w:szCs w:val="24"/>
        </w:rPr>
        <w:t>ccountability for impacts and their sustainability</w:t>
      </w:r>
      <w:r>
        <w:rPr>
          <w:rFonts w:ascii="Garamond" w:hAnsi="Garamond" w:cs="Calibri"/>
          <w:sz w:val="24"/>
          <w:szCs w:val="24"/>
        </w:rPr>
        <w:t>, concretely a proper assessment of impacts. FoRS addresses these gaps through targeted capacity building activities.</w:t>
      </w:r>
    </w:p>
    <w:p w:rsidR="0068201B" w:rsidRDefault="0068201B" w:rsidP="009614EE">
      <w:pPr>
        <w:spacing w:after="0" w:line="240" w:lineRule="auto"/>
        <w:jc w:val="both"/>
        <w:rPr>
          <w:rFonts w:ascii="Garamond" w:hAnsi="Garamond" w:cs="Calibri"/>
          <w:bCs/>
          <w:color w:val="000000"/>
          <w:sz w:val="24"/>
          <w:szCs w:val="24"/>
        </w:rPr>
      </w:pPr>
    </w:p>
    <w:p w:rsidR="0068201B" w:rsidRPr="00872784" w:rsidRDefault="0068201B" w:rsidP="00FE0CC8">
      <w:pPr>
        <w:spacing w:line="240" w:lineRule="auto"/>
        <w:jc w:val="both"/>
        <w:rPr>
          <w:rFonts w:ascii="Garamond" w:hAnsi="Garamond" w:cs="Calibri"/>
          <w:bCs/>
          <w:color w:val="000000"/>
          <w:sz w:val="24"/>
          <w:szCs w:val="24"/>
        </w:rPr>
      </w:pPr>
      <w:r w:rsidRPr="00872784">
        <w:rPr>
          <w:rFonts w:ascii="Garamond" w:hAnsi="Garamond" w:cs="Calibri"/>
          <w:bCs/>
          <w:color w:val="000000"/>
          <w:sz w:val="24"/>
          <w:szCs w:val="24"/>
        </w:rPr>
        <w:t>At European level, a peer-learning system for sharing experience and best practices among national CSO platforms has begun.</w:t>
      </w:r>
    </w:p>
    <w:p w:rsidR="0068201B" w:rsidRPr="00872784" w:rsidRDefault="0068201B" w:rsidP="002D2688">
      <w:pPr>
        <w:spacing w:after="120" w:line="240" w:lineRule="auto"/>
        <w:jc w:val="both"/>
        <w:rPr>
          <w:rFonts w:ascii="Garamond" w:hAnsi="Garamond" w:cs="Helvetica"/>
          <w:b/>
          <w:bCs/>
          <w:sz w:val="24"/>
          <w:szCs w:val="24"/>
        </w:rPr>
      </w:pPr>
      <w:r w:rsidRPr="00872784">
        <w:rPr>
          <w:rFonts w:ascii="Garamond" w:hAnsi="Garamond" w:cs="Helvetica"/>
          <w:b/>
          <w:bCs/>
          <w:sz w:val="24"/>
          <w:szCs w:val="24"/>
        </w:rPr>
        <w:t>Conclusions</w:t>
      </w:r>
    </w:p>
    <w:p w:rsidR="0068201B" w:rsidRPr="00872784" w:rsidRDefault="0068201B" w:rsidP="00410C3A">
      <w:pPr>
        <w:spacing w:line="240" w:lineRule="auto"/>
        <w:jc w:val="both"/>
        <w:rPr>
          <w:rFonts w:ascii="Garamond" w:hAnsi="Garamond" w:cs="Calibri"/>
          <w:color w:val="000000"/>
          <w:sz w:val="24"/>
          <w:szCs w:val="24"/>
        </w:rPr>
      </w:pPr>
      <w:r w:rsidRPr="00872784">
        <w:rPr>
          <w:rFonts w:ascii="Garamond" w:hAnsi="Garamond" w:cs="Calibri"/>
          <w:color w:val="000000"/>
          <w:sz w:val="24"/>
          <w:szCs w:val="24"/>
        </w:rPr>
        <w:t>Despite a number of positive achievements in Czech development cooper</w:t>
      </w:r>
      <w:r>
        <w:rPr>
          <w:rFonts w:ascii="Garamond" w:hAnsi="Garamond" w:cs="Calibri"/>
          <w:color w:val="000000"/>
          <w:sz w:val="24"/>
          <w:szCs w:val="24"/>
        </w:rPr>
        <w:t>a</w:t>
      </w:r>
      <w:r w:rsidRPr="00872784">
        <w:rPr>
          <w:rFonts w:ascii="Garamond" w:hAnsi="Garamond" w:cs="Calibri"/>
          <w:color w:val="000000"/>
          <w:sz w:val="24"/>
          <w:szCs w:val="24"/>
        </w:rPr>
        <w:t xml:space="preserve">tion over the past years, challenges remain in the areas of development effectiveness and the promotion of more equitable and inclusive </w:t>
      </w:r>
      <w:r>
        <w:rPr>
          <w:rFonts w:ascii="Garamond" w:hAnsi="Garamond" w:cs="Calibri"/>
          <w:color w:val="000000"/>
          <w:sz w:val="24"/>
          <w:szCs w:val="24"/>
        </w:rPr>
        <w:t>partnerships of</w:t>
      </w:r>
      <w:r w:rsidRPr="00872784">
        <w:rPr>
          <w:rFonts w:ascii="Garamond" w:hAnsi="Garamond" w:cs="Calibri"/>
          <w:color w:val="000000"/>
          <w:sz w:val="24"/>
          <w:szCs w:val="24"/>
        </w:rPr>
        <w:t xml:space="preserve"> CSOs</w:t>
      </w:r>
      <w:r>
        <w:rPr>
          <w:rFonts w:ascii="Garamond" w:hAnsi="Garamond" w:cs="Calibri"/>
          <w:color w:val="000000"/>
          <w:sz w:val="24"/>
          <w:szCs w:val="24"/>
        </w:rPr>
        <w:t xml:space="preserve"> and other development actors</w:t>
      </w:r>
      <w:r w:rsidRPr="00872784">
        <w:rPr>
          <w:rFonts w:ascii="Garamond" w:hAnsi="Garamond" w:cs="Calibri"/>
          <w:color w:val="000000"/>
          <w:sz w:val="24"/>
          <w:szCs w:val="24"/>
        </w:rPr>
        <w:t>. Key successes, challenges and lessons learned are summarized below.</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Successes/Achievements</w:t>
      </w:r>
    </w:p>
    <w:p w:rsidR="0068201B" w:rsidRPr="00872784" w:rsidRDefault="0068201B" w:rsidP="00410C3A">
      <w:pPr>
        <w:pStyle w:val="ListParagraph"/>
        <w:numPr>
          <w:ilvl w:val="0"/>
          <w:numId w:val="22"/>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Enactment of the Law on International Development Cooperation and Humanitarian Aid</w:t>
      </w:r>
      <w:r>
        <w:rPr>
          <w:rFonts w:ascii="Garamond" w:hAnsi="Garamond" w:cs="Calibri"/>
          <w:color w:val="000000"/>
          <w:sz w:val="24"/>
          <w:szCs w:val="24"/>
        </w:rPr>
        <w:t>;</w:t>
      </w:r>
      <w:r w:rsidRPr="00872784">
        <w:rPr>
          <w:rFonts w:ascii="Garamond" w:hAnsi="Garamond" w:cs="Calibri"/>
          <w:color w:val="000000"/>
          <w:sz w:val="24"/>
          <w:szCs w:val="24"/>
        </w:rPr>
        <w:t xml:space="preserve"> and the Czech ODA Strategy 2010-2017 which highlights the key principles of sustainable development.</w:t>
      </w:r>
    </w:p>
    <w:p w:rsidR="0068201B" w:rsidRPr="00872784" w:rsidRDefault="0068201B" w:rsidP="00410C3A">
      <w:pPr>
        <w:pStyle w:val="ListParagraph"/>
        <w:numPr>
          <w:ilvl w:val="0"/>
          <w:numId w:val="22"/>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Establishment of the Czech Development Agency and the Council for International Development Cooperation (and engagement of FoRS).</w:t>
      </w:r>
    </w:p>
    <w:p w:rsidR="0068201B" w:rsidRPr="00872784" w:rsidRDefault="0068201B" w:rsidP="00410C3A">
      <w:pPr>
        <w:pStyle w:val="ListParagraph"/>
        <w:numPr>
          <w:ilvl w:val="0"/>
          <w:numId w:val="22"/>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System of development evaluations (with some areas to be still improved).</w:t>
      </w:r>
    </w:p>
    <w:p w:rsidR="0068201B" w:rsidRPr="00872784" w:rsidRDefault="0068201B" w:rsidP="00410C3A">
      <w:pPr>
        <w:pStyle w:val="ListParagraph"/>
        <w:numPr>
          <w:ilvl w:val="0"/>
          <w:numId w:val="23"/>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Relatively high and stable public support for development cooperation and humanitarian aid.</w:t>
      </w:r>
    </w:p>
    <w:p w:rsidR="0068201B" w:rsidRPr="00872784" w:rsidRDefault="0068201B" w:rsidP="00A645EA">
      <w:pPr>
        <w:pStyle w:val="ListParagraph"/>
        <w:numPr>
          <w:ilvl w:val="0"/>
          <w:numId w:val="23"/>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An intention to access IATI in 2015</w:t>
      </w:r>
      <w:r>
        <w:rPr>
          <w:rFonts w:ascii="Garamond" w:hAnsi="Garamond" w:cs="Calibri"/>
          <w:color w:val="000000"/>
          <w:sz w:val="24"/>
          <w:szCs w:val="24"/>
        </w:rPr>
        <w:t xml:space="preserve"> (FoRS will urge the MFA to fulfil this promise)</w:t>
      </w:r>
      <w:r w:rsidRPr="00872784">
        <w:rPr>
          <w:rFonts w:ascii="Garamond" w:hAnsi="Garamond" w:cs="Calibri"/>
          <w:color w:val="000000"/>
          <w:sz w:val="24"/>
          <w:szCs w:val="24"/>
        </w:rPr>
        <w:t>.</w:t>
      </w:r>
    </w:p>
    <w:p w:rsidR="0068201B" w:rsidRPr="00872784" w:rsidRDefault="0068201B" w:rsidP="00410C3A">
      <w:pPr>
        <w:pStyle w:val="ListParagraph"/>
        <w:numPr>
          <w:ilvl w:val="0"/>
          <w:numId w:val="23"/>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Engagement of FoRS in national, European and global strategic discussions on development effectiveness.</w:t>
      </w:r>
      <w:r>
        <w:rPr>
          <w:rFonts w:ascii="Garamond" w:hAnsi="Garamond" w:cs="Calibri"/>
          <w:color w:val="000000"/>
          <w:sz w:val="24"/>
          <w:szCs w:val="24"/>
        </w:rPr>
        <w:t xml:space="preserve"> Increasing engagement of the private sector in policy dialogue.</w:t>
      </w:r>
    </w:p>
    <w:p w:rsidR="0068201B" w:rsidRPr="00872784" w:rsidRDefault="0068201B" w:rsidP="00A645EA">
      <w:pPr>
        <w:pStyle w:val="ListParagraph"/>
        <w:numPr>
          <w:ilvl w:val="0"/>
          <w:numId w:val="23"/>
        </w:numPr>
        <w:spacing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Code on Effectiveness adopted by FoRS in 2011, with practical monitoring mechanisms including self-assessment and peer-reviews.</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Challenges</w:t>
      </w:r>
    </w:p>
    <w:p w:rsidR="0068201B" w:rsidRPr="00872784" w:rsidRDefault="0068201B" w:rsidP="003B0FE0">
      <w:pPr>
        <w:pStyle w:val="ListParagraph"/>
        <w:numPr>
          <w:ilvl w:val="0"/>
          <w:numId w:val="23"/>
        </w:numPr>
        <w:spacing w:after="120" w:line="240" w:lineRule="auto"/>
        <w:ind w:left="568" w:hanging="284"/>
        <w:contextualSpacing w:val="0"/>
        <w:jc w:val="both"/>
        <w:rPr>
          <w:rFonts w:ascii="Garamond" w:hAnsi="Garamond" w:cs="Helvetica"/>
          <w:sz w:val="24"/>
          <w:szCs w:val="24"/>
        </w:rPr>
      </w:pPr>
      <w:r w:rsidRPr="00872784">
        <w:rPr>
          <w:rFonts w:ascii="Garamond" w:hAnsi="Garamond" w:cs="Calibri"/>
          <w:color w:val="000000"/>
          <w:sz w:val="24"/>
          <w:szCs w:val="24"/>
        </w:rPr>
        <w:t>Recognition of CSOs as development actors in their own right</w:t>
      </w:r>
      <w:r w:rsidRPr="00872784">
        <w:rPr>
          <w:rFonts w:ascii="Garamond" w:hAnsi="Garamond" w:cs="Helvetica"/>
          <w:sz w:val="24"/>
          <w:szCs w:val="24"/>
        </w:rPr>
        <w:t xml:space="preserve"> is quite good at the political level, but practical instruments and means of implementation are still missing and CSOs are still required to follow governmental priorities. ODA is still endangered due to the short-term political and economic interests.</w:t>
      </w:r>
    </w:p>
    <w:p w:rsidR="0068201B" w:rsidRPr="00872784" w:rsidRDefault="0068201B" w:rsidP="00A645EA">
      <w:pPr>
        <w:pStyle w:val="ListParagraph"/>
        <w:numPr>
          <w:ilvl w:val="0"/>
          <w:numId w:val="23"/>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Lack of policy documents reflecting the Accra, Busan and Mexico commitments on increasing development effectiveness; absence of commitments on policy coherence for development. There are</w:t>
      </w:r>
      <w:r w:rsidRPr="00872784">
        <w:t xml:space="preserve"> </w:t>
      </w:r>
      <w:r w:rsidRPr="00872784">
        <w:rPr>
          <w:rFonts w:ascii="Garamond" w:hAnsi="Garamond" w:cs="Calibri"/>
          <w:color w:val="000000"/>
          <w:sz w:val="24"/>
          <w:szCs w:val="24"/>
        </w:rPr>
        <w:t>no stated commitments of the private sector either.</w:t>
      </w:r>
    </w:p>
    <w:p w:rsidR="0068201B" w:rsidRPr="00872784" w:rsidRDefault="0068201B" w:rsidP="00816462">
      <w:pPr>
        <w:pStyle w:val="ListParagraph"/>
        <w:numPr>
          <w:ilvl w:val="0"/>
          <w:numId w:val="23"/>
        </w:numPr>
        <w:spacing w:after="120" w:line="240" w:lineRule="auto"/>
        <w:ind w:left="568" w:hanging="284"/>
        <w:contextualSpacing w:val="0"/>
        <w:jc w:val="both"/>
        <w:rPr>
          <w:rFonts w:ascii="Garamond" w:hAnsi="Garamond" w:cs="Calibri"/>
          <w:color w:val="000000"/>
          <w:sz w:val="24"/>
          <w:szCs w:val="24"/>
        </w:rPr>
      </w:pPr>
      <w:r w:rsidRPr="00872784">
        <w:rPr>
          <w:rFonts w:ascii="Garamond" w:hAnsi="Garamond" w:cs="Calibri"/>
          <w:color w:val="000000"/>
          <w:sz w:val="24"/>
          <w:szCs w:val="24"/>
        </w:rPr>
        <w:t>Limited budget for ODA and no plan to reach the related international commitments.</w:t>
      </w:r>
      <w:r w:rsidRPr="00872784">
        <w:rPr>
          <w:rStyle w:val="FootnoteReference"/>
          <w:rFonts w:ascii="Garamond" w:hAnsi="Garamond"/>
          <w:color w:val="000000"/>
          <w:sz w:val="24"/>
          <w:szCs w:val="24"/>
        </w:rPr>
        <w:footnoteReference w:id="33"/>
      </w:r>
      <w:r>
        <w:rPr>
          <w:rFonts w:ascii="Garamond" w:hAnsi="Garamond" w:cs="Calibri"/>
          <w:color w:val="000000"/>
          <w:sz w:val="24"/>
          <w:szCs w:val="24"/>
        </w:rPr>
        <w:t xml:space="preserve"> However, a policy debate on increasing the ODA budget has just started.</w:t>
      </w:r>
    </w:p>
    <w:p w:rsidR="0068201B" w:rsidRPr="00872784" w:rsidRDefault="0068201B" w:rsidP="003B0FE0">
      <w:pPr>
        <w:pStyle w:val="ListParagraph"/>
        <w:numPr>
          <w:ilvl w:val="0"/>
          <w:numId w:val="24"/>
        </w:numPr>
        <w:spacing w:after="120" w:line="240" w:lineRule="auto"/>
        <w:ind w:left="568" w:hanging="284"/>
        <w:contextualSpacing w:val="0"/>
        <w:jc w:val="both"/>
        <w:rPr>
          <w:rFonts w:ascii="Garamond" w:hAnsi="Garamond" w:cs="Helvetica"/>
          <w:sz w:val="24"/>
          <w:szCs w:val="24"/>
        </w:rPr>
      </w:pPr>
      <w:r w:rsidRPr="00872784">
        <w:rPr>
          <w:rFonts w:ascii="Garamond" w:hAnsi="Garamond" w:cs="Helvetica"/>
          <w:sz w:val="24"/>
          <w:szCs w:val="24"/>
        </w:rPr>
        <w:t xml:space="preserve">Relatively good access of CSOs to policy engagement is hindered by limited knowledge, the lack of internal capacity and financial constraints, including modest budget and low predictability of funding (e.g. core funding or mid-term framework agreements are </w:t>
      </w:r>
      <w:r>
        <w:rPr>
          <w:rFonts w:ascii="Garamond" w:hAnsi="Garamond" w:cs="Helvetica"/>
          <w:sz w:val="24"/>
          <w:szCs w:val="24"/>
        </w:rPr>
        <w:t>still missing among ODA modalities</w:t>
      </w:r>
      <w:r w:rsidRPr="00872784">
        <w:rPr>
          <w:rFonts w:ascii="Garamond" w:hAnsi="Garamond" w:cs="Helvetica"/>
          <w:sz w:val="24"/>
          <w:szCs w:val="24"/>
        </w:rPr>
        <w:t>). CSOs have to nurture the capacity to organize among themselves and lobby for concrete policy changes. The mechanism for internal consultations must be strengthened in order to increase ownership and build wide consensus on joint positions.</w:t>
      </w:r>
    </w:p>
    <w:p w:rsidR="0068201B" w:rsidRPr="00872784" w:rsidRDefault="0068201B" w:rsidP="00FE0CC8">
      <w:pPr>
        <w:pStyle w:val="ListParagraph"/>
        <w:numPr>
          <w:ilvl w:val="0"/>
          <w:numId w:val="24"/>
        </w:numPr>
        <w:spacing w:after="120" w:line="240" w:lineRule="auto"/>
        <w:ind w:left="568" w:hanging="284"/>
        <w:contextualSpacing w:val="0"/>
        <w:jc w:val="both"/>
        <w:rPr>
          <w:rFonts w:ascii="Garamond" w:hAnsi="Garamond" w:cs="Helvetica"/>
          <w:sz w:val="24"/>
          <w:szCs w:val="24"/>
        </w:rPr>
      </w:pPr>
      <w:r w:rsidRPr="00872784">
        <w:rPr>
          <w:rFonts w:ascii="Garamond" w:hAnsi="Garamond" w:cs="Helvetica"/>
          <w:sz w:val="24"/>
          <w:szCs w:val="24"/>
        </w:rPr>
        <w:t xml:space="preserve">Further improvements of the evaluation system are needed, with a focus on Theory of Change, on systematic </w:t>
      </w:r>
      <w:r>
        <w:rPr>
          <w:rFonts w:ascii="Garamond" w:hAnsi="Garamond" w:cs="Helvetica"/>
          <w:sz w:val="24"/>
          <w:szCs w:val="24"/>
        </w:rPr>
        <w:t>assessment</w:t>
      </w:r>
      <w:r w:rsidRPr="00872784">
        <w:rPr>
          <w:rFonts w:ascii="Garamond" w:hAnsi="Garamond" w:cs="Helvetica"/>
          <w:sz w:val="24"/>
          <w:szCs w:val="24"/>
        </w:rPr>
        <w:t xml:space="preserve"> of cross-cutting principles (good governance, human rights and gender equality, and environmental protection), and on the use of evaluation results.</w:t>
      </w:r>
    </w:p>
    <w:p w:rsidR="0068201B" w:rsidRPr="00872784" w:rsidRDefault="0068201B" w:rsidP="00FE0CC8">
      <w:pPr>
        <w:pStyle w:val="ListParagraph"/>
        <w:numPr>
          <w:ilvl w:val="0"/>
          <w:numId w:val="24"/>
        </w:numPr>
        <w:spacing w:line="240" w:lineRule="auto"/>
        <w:ind w:left="568" w:hanging="284"/>
        <w:contextualSpacing w:val="0"/>
        <w:jc w:val="both"/>
        <w:rPr>
          <w:rFonts w:ascii="Garamond" w:hAnsi="Garamond" w:cs="Helvetica"/>
          <w:sz w:val="24"/>
          <w:szCs w:val="24"/>
        </w:rPr>
      </w:pPr>
      <w:r w:rsidRPr="00872784">
        <w:rPr>
          <w:rFonts w:ascii="Garamond" w:hAnsi="Garamond" w:cs="Helvetica"/>
          <w:sz w:val="24"/>
          <w:szCs w:val="24"/>
        </w:rPr>
        <w:t>There is space for political dialogue but its impacts are limited, due to low political support for ODA. The European Year for Development 2015 is an opportunity to increase awareness and engagement of various stakeholders</w:t>
      </w:r>
      <w:r>
        <w:rPr>
          <w:rFonts w:ascii="Garamond" w:hAnsi="Garamond" w:cs="Helvetica"/>
          <w:sz w:val="24"/>
          <w:szCs w:val="24"/>
        </w:rPr>
        <w:t>, including the private sector,</w:t>
      </w:r>
      <w:r w:rsidRPr="00872784">
        <w:rPr>
          <w:rFonts w:ascii="Garamond" w:hAnsi="Garamond" w:cs="Helvetica"/>
          <w:sz w:val="24"/>
          <w:szCs w:val="24"/>
        </w:rPr>
        <w:t xml:space="preserve"> on ODA issues.</w:t>
      </w:r>
    </w:p>
    <w:p w:rsidR="0068201B" w:rsidRPr="00872784" w:rsidRDefault="0068201B" w:rsidP="00A20BCD">
      <w:pPr>
        <w:spacing w:after="120" w:line="240" w:lineRule="auto"/>
        <w:jc w:val="both"/>
        <w:rPr>
          <w:rFonts w:ascii="Garamond" w:hAnsi="Garamond" w:cs="Calibri"/>
          <w:i/>
          <w:color w:val="000000"/>
          <w:sz w:val="24"/>
          <w:szCs w:val="24"/>
        </w:rPr>
      </w:pPr>
      <w:r w:rsidRPr="00872784">
        <w:rPr>
          <w:rFonts w:ascii="Garamond" w:hAnsi="Garamond" w:cs="Calibri"/>
          <w:i/>
          <w:color w:val="000000"/>
          <w:sz w:val="24"/>
          <w:szCs w:val="24"/>
        </w:rPr>
        <w:t>Lessons learned</w:t>
      </w:r>
    </w:p>
    <w:p w:rsidR="0068201B" w:rsidRPr="00872784" w:rsidRDefault="0068201B" w:rsidP="00941428">
      <w:pPr>
        <w:pStyle w:val="ListParagraph"/>
        <w:numPr>
          <w:ilvl w:val="0"/>
          <w:numId w:val="24"/>
        </w:numPr>
        <w:spacing w:after="120" w:line="240" w:lineRule="auto"/>
        <w:ind w:left="568" w:hanging="284"/>
        <w:contextualSpacing w:val="0"/>
        <w:jc w:val="both"/>
        <w:rPr>
          <w:rFonts w:ascii="Garamond" w:hAnsi="Garamond" w:cs="Helvetica"/>
          <w:sz w:val="24"/>
          <w:szCs w:val="24"/>
        </w:rPr>
      </w:pPr>
      <w:r w:rsidRPr="00872784">
        <w:rPr>
          <w:rFonts w:ascii="Garamond" w:hAnsi="Garamond" w:cs="Helvetica"/>
          <w:sz w:val="24"/>
          <w:szCs w:val="24"/>
        </w:rPr>
        <w:t>FoRS members are still in the process of learning appropriate ways to enhance development effectiveness in practice. Ways forward need to be built on the basis of an open and fair relationship, peer-learning, willingness to improve, and sufficient capacities, resources and time. Knowledge exchange with other CSOs, platforms and bodies like CPDE ha</w:t>
      </w:r>
      <w:r>
        <w:rPr>
          <w:rFonts w:ascii="Garamond" w:hAnsi="Garamond" w:cs="Helvetica"/>
          <w:sz w:val="24"/>
          <w:szCs w:val="24"/>
        </w:rPr>
        <w:t>s</w:t>
      </w:r>
      <w:r w:rsidRPr="00872784">
        <w:rPr>
          <w:rFonts w:ascii="Garamond" w:hAnsi="Garamond" w:cs="Helvetica"/>
          <w:sz w:val="24"/>
          <w:szCs w:val="24"/>
        </w:rPr>
        <w:t xml:space="preserve"> been essential.</w:t>
      </w:r>
    </w:p>
    <w:p w:rsidR="0068201B" w:rsidRPr="00872784" w:rsidRDefault="0068201B" w:rsidP="00C147D4">
      <w:pPr>
        <w:pStyle w:val="ListParagraph"/>
        <w:numPr>
          <w:ilvl w:val="0"/>
          <w:numId w:val="24"/>
        </w:numPr>
        <w:spacing w:line="240" w:lineRule="auto"/>
        <w:ind w:left="568" w:hanging="284"/>
        <w:contextualSpacing w:val="0"/>
        <w:jc w:val="both"/>
        <w:rPr>
          <w:rFonts w:ascii="Garamond" w:hAnsi="Garamond" w:cs="Helvetica"/>
          <w:sz w:val="24"/>
          <w:szCs w:val="24"/>
        </w:rPr>
      </w:pPr>
      <w:r w:rsidRPr="00872784">
        <w:rPr>
          <w:rFonts w:ascii="Garamond" w:hAnsi="Garamond" w:cs="Helvetica"/>
          <w:sz w:val="24"/>
          <w:szCs w:val="24"/>
        </w:rPr>
        <w:t>CSOs must engage actively in global policy debates – presenting their political messages with a realistic understanding of the limits of these engagements, and buttressing their demands with their own commitments to development effectiveness.</w:t>
      </w:r>
    </w:p>
    <w:p w:rsidR="0068201B" w:rsidRPr="00872784" w:rsidRDefault="0068201B" w:rsidP="009E7319">
      <w:pPr>
        <w:spacing w:line="240" w:lineRule="auto"/>
        <w:jc w:val="both"/>
        <w:rPr>
          <w:rFonts w:ascii="Garamond" w:hAnsi="Garamond" w:cs="Helvetica"/>
          <w:b/>
          <w:bCs/>
          <w:sz w:val="24"/>
          <w:szCs w:val="24"/>
        </w:rPr>
      </w:pPr>
      <w:r w:rsidRPr="00872784">
        <w:rPr>
          <w:rFonts w:ascii="Garamond" w:hAnsi="Garamond" w:cs="Helvetica"/>
          <w:b/>
          <w:bCs/>
          <w:sz w:val="24"/>
          <w:szCs w:val="24"/>
        </w:rPr>
        <w:br w:type="page"/>
        <w:t>Bibliography</w:t>
      </w:r>
    </w:p>
    <w:p w:rsidR="0068201B" w:rsidRPr="00BB245D" w:rsidRDefault="0068201B" w:rsidP="008226F3">
      <w:pPr>
        <w:spacing w:after="100" w:line="240" w:lineRule="auto"/>
        <w:rPr>
          <w:rFonts w:ascii="Garamond" w:hAnsi="Garamond" w:cs="Calibri"/>
          <w:sz w:val="24"/>
          <w:szCs w:val="24"/>
        </w:rPr>
      </w:pPr>
      <w:r w:rsidRPr="00872784">
        <w:rPr>
          <w:rFonts w:ascii="Garamond" w:hAnsi="Garamond" w:cs="Calibri"/>
          <w:sz w:val="24"/>
          <w:szCs w:val="24"/>
        </w:rPr>
        <w:t xml:space="preserve">CPDE, The Journey from Istanbul: Evidences on the implementation of the CSO Development Effectiveness Principles (2014), </w:t>
      </w:r>
      <w:hyperlink r:id="rId7" w:history="1">
        <w:r w:rsidRPr="00BB245D">
          <w:rPr>
            <w:rStyle w:val="Hyperlink"/>
            <w:rFonts w:ascii="Garamond" w:hAnsi="Garamond" w:cs="Calibri"/>
            <w:sz w:val="24"/>
            <w:szCs w:val="24"/>
            <w:lang w:val="en-US"/>
          </w:rPr>
          <w:t>http://www.csopartnership.org/the-journey-from-istanbul-evidence-on-the-implementation-of-cso-de-principles/</w:t>
        </w:r>
      </w:hyperlink>
    </w:p>
    <w:p w:rsidR="0068201B" w:rsidRPr="00872784" w:rsidRDefault="0068201B" w:rsidP="00F3111E">
      <w:pPr>
        <w:spacing w:after="100" w:line="240" w:lineRule="auto"/>
        <w:rPr>
          <w:rFonts w:ascii="Garamond" w:hAnsi="Garamond"/>
          <w:sz w:val="24"/>
          <w:szCs w:val="24"/>
        </w:rPr>
      </w:pPr>
      <w:r w:rsidRPr="00BB245D">
        <w:rPr>
          <w:rFonts w:ascii="Garamond" w:hAnsi="Garamond"/>
          <w:sz w:val="24"/>
          <w:szCs w:val="24"/>
        </w:rPr>
        <w:t xml:space="preserve">FoRS Code on Effectiveness (2011), </w:t>
      </w:r>
      <w:hyperlink r:id="rId8" w:history="1">
        <w:r w:rsidRPr="00872784">
          <w:rPr>
            <w:rStyle w:val="Hyperlink"/>
            <w:rFonts w:ascii="Garamond" w:hAnsi="Garamond"/>
            <w:sz w:val="24"/>
            <w:szCs w:val="24"/>
          </w:rPr>
          <w:t>http://www.fors.cz/user_files/fors_code_on_effectiveness_en.pdf</w:t>
        </w:r>
      </w:hyperlink>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FoRS letter to the MFA (deputy minister for non-European countries and economic diplomacy) (2014): Engagement of FoRS in the European Year for Development 2015 (only in Czech)</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FoRS position to the mid-term revision of the Czech ODA strategy 2011-2017 (2014)</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FoRS position to the Plan of Czech ODA for 2015 and for a mid-term outlook till 2017 (2014) (only in Czech)</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 xml:space="preserve">FoRS Strategy 2011 – 2015 (2011), </w:t>
      </w:r>
      <w:hyperlink r:id="rId9" w:history="1">
        <w:r w:rsidRPr="00872784">
          <w:rPr>
            <w:rStyle w:val="Hyperlink"/>
            <w:rFonts w:ascii="Garamond" w:hAnsi="Garamond"/>
            <w:sz w:val="24"/>
            <w:szCs w:val="24"/>
          </w:rPr>
          <w:t>http://fors.cz/user_files/strategiefors_final19.12.2011.pdf</w:t>
        </w:r>
      </w:hyperlink>
      <w:r w:rsidRPr="00872784">
        <w:rPr>
          <w:rFonts w:ascii="Garamond" w:hAnsi="Garamond"/>
          <w:sz w:val="24"/>
          <w:szCs w:val="24"/>
        </w:rPr>
        <w:t xml:space="preserve"> (only in Czech)</w:t>
      </w:r>
    </w:p>
    <w:p w:rsidR="0068201B" w:rsidRPr="00872784" w:rsidRDefault="0068201B" w:rsidP="00F3111E">
      <w:pPr>
        <w:spacing w:after="100" w:line="240" w:lineRule="auto"/>
        <w:jc w:val="both"/>
        <w:rPr>
          <w:rFonts w:ascii="Garamond" w:hAnsi="Garamond" w:cs="Calibri"/>
          <w:sz w:val="24"/>
          <w:szCs w:val="24"/>
        </w:rPr>
      </w:pPr>
      <w:r w:rsidRPr="00872784">
        <w:rPr>
          <w:rFonts w:ascii="Garamond" w:hAnsi="Garamond" w:cs="Calibri"/>
          <w:sz w:val="24"/>
          <w:szCs w:val="24"/>
        </w:rPr>
        <w:t xml:space="preserve">FoRS, AidWatch Report (2014): What Czechia is doing (is going to do) to contribute to eradicate poverty in the world by 2015 and onwards. NGO View on Czech ODA, </w:t>
      </w:r>
      <w:hyperlink r:id="rId10" w:history="1">
        <w:r w:rsidRPr="00872784">
          <w:rPr>
            <w:rStyle w:val="Hyperlink"/>
            <w:rFonts w:ascii="Garamond" w:hAnsi="Garamond" w:cs="Calibri"/>
            <w:sz w:val="24"/>
            <w:szCs w:val="24"/>
          </w:rPr>
          <w:t>http://www.fors.cz/wp-content/uploads/2014/11/aidwatch-final-4-web.pdf</w:t>
        </w:r>
      </w:hyperlink>
      <w:r w:rsidRPr="00872784">
        <w:rPr>
          <w:rFonts w:ascii="Garamond" w:hAnsi="Garamond" w:cs="Calibri"/>
          <w:sz w:val="24"/>
          <w:szCs w:val="24"/>
        </w:rPr>
        <w:t xml:space="preserve"> (only in Czech)</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 xml:space="preserve">FoRS, Communication Compass for development NGOs: Practical Tips and Suggestions for Quality and Effective Public Relations (2014), </w:t>
      </w:r>
      <w:hyperlink r:id="rId11" w:history="1">
        <w:r w:rsidRPr="00872784">
          <w:rPr>
            <w:rStyle w:val="Hyperlink"/>
            <w:rFonts w:ascii="Garamond" w:hAnsi="Garamond"/>
            <w:sz w:val="24"/>
            <w:szCs w:val="24"/>
          </w:rPr>
          <w:t>http://www.fors.cz/wp-content/uploads/2012/08/fors_manual_A5_www.pdf</w:t>
        </w:r>
      </w:hyperlink>
      <w:r w:rsidRPr="00872784">
        <w:rPr>
          <w:rFonts w:ascii="Garamond" w:hAnsi="Garamond"/>
          <w:sz w:val="24"/>
          <w:szCs w:val="24"/>
        </w:rPr>
        <w:t xml:space="preserve"> (only in Czech)</w:t>
      </w:r>
    </w:p>
    <w:p w:rsidR="0068201B" w:rsidRPr="00872784" w:rsidRDefault="0068201B" w:rsidP="00F3111E">
      <w:pPr>
        <w:spacing w:after="100" w:line="240" w:lineRule="auto"/>
        <w:jc w:val="both"/>
        <w:rPr>
          <w:rFonts w:ascii="Garamond" w:hAnsi="Garamond" w:cs="Calibri"/>
          <w:sz w:val="24"/>
          <w:szCs w:val="24"/>
        </w:rPr>
      </w:pPr>
      <w:r w:rsidRPr="00872784">
        <w:rPr>
          <w:rFonts w:ascii="Garamond" w:hAnsi="Garamond" w:cs="Calibri"/>
          <w:sz w:val="24"/>
          <w:szCs w:val="24"/>
        </w:rPr>
        <w:t>FoRS, Country page for the CONCORD AidWatch Report (2014)</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 xml:space="preserve">FoRS, Czech Evaluation Society, How to mainstream the different roles, needs and priorities of women and men in  development, humanitarian, educational and awareness raising projects (2014), </w:t>
      </w:r>
      <w:hyperlink r:id="rId12" w:history="1">
        <w:r w:rsidRPr="00872784">
          <w:rPr>
            <w:rStyle w:val="Hyperlink"/>
            <w:rFonts w:ascii="Garamond" w:hAnsi="Garamond"/>
            <w:sz w:val="24"/>
            <w:szCs w:val="24"/>
          </w:rPr>
          <w:t>http://www.fors.cz/wp-content/uploads/2014/04/FoRS_CES_Metodika_gender_projektyZRS.pdf</w:t>
        </w:r>
      </w:hyperlink>
      <w:r w:rsidRPr="00872784">
        <w:rPr>
          <w:rFonts w:ascii="Garamond" w:hAnsi="Garamond"/>
          <w:sz w:val="24"/>
          <w:szCs w:val="24"/>
        </w:rPr>
        <w:t xml:space="preserve"> (only in Czech) </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 xml:space="preserve">FoRS, Czech ODA: Contribution to poverty eradication in the world – View of NGOs associated in FoRS – Czech Forum for Development Cooperation, AidWatch Briefing paper (2013), </w:t>
      </w:r>
      <w:hyperlink r:id="rId13" w:history="1">
        <w:r w:rsidRPr="00872784">
          <w:rPr>
            <w:rStyle w:val="Hyperlink"/>
            <w:rFonts w:ascii="Garamond" w:hAnsi="Garamond"/>
            <w:sz w:val="24"/>
            <w:szCs w:val="24"/>
          </w:rPr>
          <w:t>http://www.fors.cz/wp-content/uploads/2014/04/brief-web.pdf</w:t>
        </w:r>
      </w:hyperlink>
      <w:r w:rsidRPr="00872784">
        <w:rPr>
          <w:rFonts w:ascii="Garamond" w:hAnsi="Garamond"/>
          <w:sz w:val="24"/>
          <w:szCs w:val="24"/>
        </w:rPr>
        <w:t xml:space="preserve"> (only in Czech)</w:t>
      </w:r>
    </w:p>
    <w:p w:rsidR="0068201B" w:rsidRPr="00872784" w:rsidRDefault="0068201B" w:rsidP="00F3111E">
      <w:pPr>
        <w:pStyle w:val="NoSpacing"/>
        <w:spacing w:after="100"/>
        <w:jc w:val="both"/>
        <w:rPr>
          <w:rFonts w:ascii="Garamond" w:hAnsi="Garamond" w:cs="Times New Roman"/>
          <w:sz w:val="24"/>
          <w:szCs w:val="24"/>
          <w:lang w:val="en-GB" w:eastAsia="en-GB"/>
        </w:rPr>
      </w:pPr>
      <w:r w:rsidRPr="00872784">
        <w:rPr>
          <w:rFonts w:ascii="Garamond" w:hAnsi="Garamond" w:cs="Times New Roman"/>
          <w:sz w:val="24"/>
          <w:szCs w:val="24"/>
          <w:lang w:val="en-GB" w:eastAsia="en-GB"/>
        </w:rPr>
        <w:t>FoRS, Inputs from development, environmental and other NGOs for discussions on global development agenda post-2015 addressed to the Czech MFA (2014) (only in Czech)</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 xml:space="preserve">FoRS, NMS Market Research agency, Attitudes towards development cooperation and humanitarian aid, Final report from the survey (2014), </w:t>
      </w:r>
      <w:hyperlink r:id="rId14" w:anchor=".VGL8lNEtDIU" w:history="1">
        <w:r w:rsidRPr="00872784">
          <w:rPr>
            <w:rStyle w:val="Hyperlink"/>
            <w:rFonts w:ascii="Garamond" w:hAnsi="Garamond"/>
            <w:sz w:val="24"/>
            <w:szCs w:val="24"/>
          </w:rPr>
          <w:t>http://www.fors.cz/sdruzeni-fors/dokumenty/tiskove-zpravy/#.VGL8lNEtDIU</w:t>
        </w:r>
      </w:hyperlink>
      <w:r w:rsidRPr="00872784">
        <w:rPr>
          <w:rFonts w:ascii="Garamond" w:hAnsi="Garamond"/>
          <w:sz w:val="24"/>
          <w:szCs w:val="24"/>
        </w:rPr>
        <w:t xml:space="preserve"> (only in Czech)</w:t>
      </w:r>
    </w:p>
    <w:p w:rsidR="0068201B" w:rsidRPr="00872784" w:rsidRDefault="0068201B" w:rsidP="00F3111E">
      <w:pPr>
        <w:spacing w:after="100" w:line="240" w:lineRule="auto"/>
        <w:jc w:val="both"/>
        <w:rPr>
          <w:rFonts w:ascii="Garamond" w:hAnsi="Garamond"/>
          <w:sz w:val="24"/>
          <w:szCs w:val="24"/>
        </w:rPr>
      </w:pPr>
      <w:r w:rsidRPr="00872784">
        <w:rPr>
          <w:rFonts w:ascii="Garamond" w:hAnsi="Garamond"/>
          <w:sz w:val="24"/>
          <w:szCs w:val="24"/>
        </w:rPr>
        <w:t xml:space="preserve">FoRS, ODA of the Czech Republic in 2011 - Perspective of the non-governmental organizations joined together in FoRS - Czech Forum for Development Cooperation, Briefing paper (2012), </w:t>
      </w:r>
      <w:hyperlink r:id="rId15" w:history="1">
        <w:r w:rsidRPr="00872784">
          <w:rPr>
            <w:rStyle w:val="Hyperlink"/>
            <w:rFonts w:ascii="Garamond" w:hAnsi="Garamond"/>
            <w:sz w:val="24"/>
            <w:szCs w:val="24"/>
          </w:rPr>
          <w:t>http://www.fors.cz/wp-content/uploads/2012/12/AW-brief-EN.pdf</w:t>
        </w:r>
      </w:hyperlink>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 xml:space="preserve">FoRS, Opinion poll: Czech citizens significantly support development cooperation and humanitarian aid, Press release (2014), </w:t>
      </w:r>
      <w:hyperlink r:id="rId16" w:anchor=".VF5-gdEtDIU" w:history="1">
        <w:r w:rsidRPr="00872784">
          <w:rPr>
            <w:rStyle w:val="Hyperlink"/>
            <w:rFonts w:ascii="Garamond" w:hAnsi="Garamond"/>
            <w:sz w:val="24"/>
            <w:szCs w:val="24"/>
          </w:rPr>
          <w:t>http://www.fors.cz/sdruzeni-fors/dokumenty/tiskove-zpravy/#.VF5-gdEtDIU</w:t>
        </w:r>
      </w:hyperlink>
      <w:r w:rsidRPr="00872784">
        <w:rPr>
          <w:rFonts w:ascii="Garamond" w:hAnsi="Garamond"/>
          <w:sz w:val="24"/>
          <w:szCs w:val="24"/>
        </w:rPr>
        <w:t xml:space="preserve"> (only in Czech)</w:t>
      </w:r>
    </w:p>
    <w:p w:rsidR="0068201B" w:rsidRPr="00872784" w:rsidRDefault="0068201B" w:rsidP="00F3111E">
      <w:pPr>
        <w:spacing w:after="100" w:line="240" w:lineRule="auto"/>
        <w:rPr>
          <w:rFonts w:ascii="Garamond" w:hAnsi="Garamond"/>
          <w:sz w:val="24"/>
          <w:szCs w:val="24"/>
        </w:rPr>
      </w:pPr>
      <w:r w:rsidRPr="00872784">
        <w:rPr>
          <w:rFonts w:ascii="Garamond" w:hAnsi="Garamond"/>
          <w:sz w:val="24"/>
          <w:szCs w:val="24"/>
        </w:rPr>
        <w:t xml:space="preserve">Körner, M., Píbilová, I., FoRS, Sustainability of Czech ODA Projects (2013), </w:t>
      </w:r>
      <w:hyperlink r:id="rId17" w:history="1">
        <w:r w:rsidRPr="00872784">
          <w:rPr>
            <w:rStyle w:val="Hyperlink"/>
            <w:rFonts w:ascii="Garamond" w:hAnsi="Garamond"/>
            <w:sz w:val="24"/>
            <w:szCs w:val="24"/>
          </w:rPr>
          <w:t>http://www.fors.cz/wp-content/uploads/2014/04/sustainability-web-FINAL_ENG.pdf</w:t>
        </w:r>
      </w:hyperlink>
    </w:p>
    <w:sectPr w:rsidR="0068201B" w:rsidRPr="00872784" w:rsidSect="0068420C">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1B" w:rsidRDefault="0068201B" w:rsidP="00445A6E">
      <w:pPr>
        <w:spacing w:after="0" w:line="240" w:lineRule="auto"/>
      </w:pPr>
      <w:r>
        <w:separator/>
      </w:r>
    </w:p>
  </w:endnote>
  <w:endnote w:type="continuationSeparator" w:id="0">
    <w:p w:rsidR="0068201B" w:rsidRDefault="0068201B" w:rsidP="00445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utiger LT 55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01B" w:rsidRPr="009179A9" w:rsidRDefault="0068201B">
    <w:pPr>
      <w:pStyle w:val="Footer"/>
      <w:jc w:val="center"/>
      <w:rPr>
        <w:rFonts w:ascii="Garamond" w:hAnsi="Garamond"/>
        <w:b/>
      </w:rPr>
    </w:pPr>
    <w:r w:rsidRPr="009179A9">
      <w:rPr>
        <w:rFonts w:ascii="Garamond" w:hAnsi="Garamond"/>
        <w:b/>
      </w:rPr>
      <w:fldChar w:fldCharType="begin"/>
    </w:r>
    <w:r w:rsidRPr="009179A9">
      <w:rPr>
        <w:rFonts w:ascii="Garamond" w:hAnsi="Garamond"/>
        <w:b/>
      </w:rPr>
      <w:instrText>PAGE   \* MERGEFORMAT</w:instrText>
    </w:r>
    <w:r w:rsidRPr="009179A9">
      <w:rPr>
        <w:rFonts w:ascii="Garamond" w:hAnsi="Garamond"/>
        <w:b/>
      </w:rPr>
      <w:fldChar w:fldCharType="separate"/>
    </w:r>
    <w:r>
      <w:rPr>
        <w:rFonts w:ascii="Garamond" w:hAnsi="Garamond"/>
        <w:b/>
        <w:noProof/>
      </w:rPr>
      <w:t>1</w:t>
    </w:r>
    <w:r w:rsidRPr="009179A9">
      <w:rPr>
        <w:rFonts w:ascii="Garamond" w:hAnsi="Garamond"/>
        <w:b/>
      </w:rPr>
      <w:fldChar w:fldCharType="end"/>
    </w:r>
  </w:p>
  <w:p w:rsidR="0068201B" w:rsidRDefault="00682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1B" w:rsidRDefault="0068201B" w:rsidP="00445A6E">
      <w:pPr>
        <w:spacing w:after="0" w:line="240" w:lineRule="auto"/>
      </w:pPr>
      <w:r>
        <w:separator/>
      </w:r>
    </w:p>
  </w:footnote>
  <w:footnote w:type="continuationSeparator" w:id="0">
    <w:p w:rsidR="0068201B" w:rsidRDefault="0068201B" w:rsidP="00445A6E">
      <w:pPr>
        <w:spacing w:after="0" w:line="240" w:lineRule="auto"/>
      </w:pPr>
      <w:r>
        <w:continuationSeparator/>
      </w:r>
    </w:p>
  </w:footnote>
  <w:footnote w:id="1">
    <w:p w:rsidR="0068201B" w:rsidRDefault="0068201B">
      <w:pPr>
        <w:pStyle w:val="FootnoteText"/>
      </w:pPr>
      <w:r w:rsidRPr="009657F6">
        <w:rPr>
          <w:rStyle w:val="FootnoteReference"/>
          <w:rFonts w:ascii="Garamond" w:hAnsi="Garamond"/>
        </w:rPr>
        <w:footnoteRef/>
      </w:r>
      <w:r w:rsidRPr="009657F6">
        <w:rPr>
          <w:rFonts w:ascii="Garamond" w:hAnsi="Garamond"/>
        </w:rPr>
        <w:t xml:space="preserve"> </w:t>
      </w:r>
      <w:r>
        <w:rPr>
          <w:rFonts w:ascii="Garamond" w:hAnsi="Garamond"/>
        </w:rPr>
        <w:t xml:space="preserve">FoRS, </w:t>
      </w:r>
      <w:r w:rsidRPr="009657F6">
        <w:rPr>
          <w:rFonts w:ascii="Garamond" w:hAnsi="Garamond"/>
        </w:rPr>
        <w:t xml:space="preserve">AidWatch </w:t>
      </w:r>
      <w:r>
        <w:rPr>
          <w:rFonts w:ascii="Garamond" w:hAnsi="Garamond"/>
        </w:rPr>
        <w:t>Report (</w:t>
      </w:r>
      <w:r w:rsidRPr="009657F6">
        <w:rPr>
          <w:rFonts w:ascii="Garamond" w:hAnsi="Garamond"/>
        </w:rPr>
        <w:t>2014</w:t>
      </w:r>
      <w:r>
        <w:rPr>
          <w:rFonts w:ascii="Garamond" w:hAnsi="Garamond"/>
        </w:rPr>
        <w:t>):</w:t>
      </w:r>
      <w:r w:rsidRPr="0097006B">
        <w:rPr>
          <w:rFonts w:ascii="Garamond" w:hAnsi="Garamond"/>
        </w:rPr>
        <w:t xml:space="preserve"> What Czechia is doing (is going to do) to contribute to eradicate poverty in the world by 2015 and onwards. </w:t>
      </w:r>
      <w:r>
        <w:rPr>
          <w:rFonts w:ascii="Garamond" w:hAnsi="Garamond"/>
        </w:rPr>
        <w:t xml:space="preserve">NGO </w:t>
      </w:r>
      <w:r w:rsidRPr="0097006B">
        <w:rPr>
          <w:rFonts w:ascii="Garamond" w:hAnsi="Garamond"/>
        </w:rPr>
        <w:t>View on Czech ODA, http://www.fors.cz/wp-content/uploads/2014/11/aidwatch-final-4-web.pdf (only in Czech)</w:t>
      </w:r>
    </w:p>
  </w:footnote>
  <w:footnote w:id="2">
    <w:p w:rsidR="0068201B" w:rsidRDefault="0068201B">
      <w:pPr>
        <w:pStyle w:val="FootnoteText"/>
      </w:pPr>
      <w:r w:rsidRPr="009657F6">
        <w:rPr>
          <w:rStyle w:val="FootnoteReference"/>
          <w:rFonts w:ascii="Garamond" w:hAnsi="Garamond"/>
        </w:rPr>
        <w:footnoteRef/>
      </w:r>
      <w:r w:rsidRPr="009657F6">
        <w:rPr>
          <w:rFonts w:ascii="Garamond" w:hAnsi="Garamond"/>
        </w:rPr>
        <w:t xml:space="preserve"> </w:t>
      </w:r>
      <w:r>
        <w:rPr>
          <w:rFonts w:ascii="Garamond" w:hAnsi="Garamond"/>
        </w:rPr>
        <w:t xml:space="preserve">TRIALOG </w:t>
      </w:r>
      <w:r w:rsidRPr="009657F6">
        <w:rPr>
          <w:rFonts w:ascii="Garamond" w:hAnsi="Garamond"/>
        </w:rPr>
        <w:t xml:space="preserve">Systematization </w:t>
      </w:r>
      <w:r>
        <w:rPr>
          <w:rFonts w:ascii="Garamond" w:hAnsi="Garamond"/>
        </w:rPr>
        <w:t>(2014)</w:t>
      </w:r>
      <w:r w:rsidRPr="009657F6">
        <w:rPr>
          <w:rFonts w:ascii="Garamond" w:hAnsi="Garamond"/>
        </w:rPr>
        <w:t xml:space="preserve"> (</w:t>
      </w:r>
      <w:r>
        <w:rPr>
          <w:rFonts w:ascii="Garamond" w:hAnsi="Garamond"/>
        </w:rPr>
        <w:t xml:space="preserve">draft </w:t>
      </w:r>
      <w:r w:rsidRPr="009657F6">
        <w:rPr>
          <w:rFonts w:ascii="Garamond" w:hAnsi="Garamond"/>
        </w:rPr>
        <w:t>outcome document, page 79)</w:t>
      </w:r>
    </w:p>
  </w:footnote>
  <w:footnote w:id="3">
    <w:p w:rsidR="0068201B" w:rsidRDefault="0068201B">
      <w:pPr>
        <w:pStyle w:val="FootnoteText"/>
      </w:pPr>
      <w:r w:rsidRPr="009657F6">
        <w:rPr>
          <w:rStyle w:val="FootnoteReference"/>
          <w:rFonts w:ascii="Garamond" w:hAnsi="Garamond"/>
        </w:rPr>
        <w:footnoteRef/>
      </w:r>
      <w:r w:rsidRPr="009657F6">
        <w:rPr>
          <w:rFonts w:ascii="Garamond" w:hAnsi="Garamond"/>
        </w:rPr>
        <w:t xml:space="preserve"> </w:t>
      </w:r>
      <w:r>
        <w:rPr>
          <w:rFonts w:ascii="Garamond" w:hAnsi="Garamond"/>
        </w:rPr>
        <w:t xml:space="preserve">CPDE, </w:t>
      </w:r>
      <w:r w:rsidRPr="007402FD">
        <w:rPr>
          <w:rFonts w:ascii="Garamond" w:hAnsi="Garamond"/>
          <w:bCs/>
        </w:rPr>
        <w:t xml:space="preserve">The Journey from Istanbul: Evidences on the implementation of the CSO Development Effectiveness Principles </w:t>
      </w:r>
      <w:r>
        <w:rPr>
          <w:rFonts w:ascii="Garamond" w:hAnsi="Garamond"/>
          <w:bCs/>
        </w:rPr>
        <w:t>(</w:t>
      </w:r>
      <w:r w:rsidRPr="007402FD">
        <w:rPr>
          <w:rFonts w:ascii="Garamond" w:hAnsi="Garamond"/>
          <w:bCs/>
        </w:rPr>
        <w:t>2014</w:t>
      </w:r>
      <w:r>
        <w:rPr>
          <w:rFonts w:ascii="Garamond" w:hAnsi="Garamond"/>
          <w:bCs/>
        </w:rPr>
        <w:t>)</w:t>
      </w:r>
      <w:r w:rsidRPr="007402FD">
        <w:rPr>
          <w:rFonts w:ascii="Garamond" w:hAnsi="Garamond"/>
          <w:bCs/>
        </w:rPr>
        <w:t>, http://www.csopartnership.org/the-journey-from-istanbul-evidence-on-the-implementation-of-cso-de-principles/</w:t>
      </w:r>
    </w:p>
  </w:footnote>
  <w:footnote w:id="4">
    <w:p w:rsidR="0068201B" w:rsidRDefault="0068201B">
      <w:pPr>
        <w:pStyle w:val="FootnoteText"/>
      </w:pPr>
      <w:r w:rsidRPr="009657F6">
        <w:rPr>
          <w:rStyle w:val="FootnoteReference"/>
          <w:rFonts w:ascii="Garamond" w:hAnsi="Garamond"/>
        </w:rPr>
        <w:footnoteRef/>
      </w:r>
      <w:r w:rsidRPr="009657F6">
        <w:rPr>
          <w:rFonts w:ascii="Garamond" w:hAnsi="Garamond"/>
        </w:rPr>
        <w:t xml:space="preserve"> </w:t>
      </w:r>
      <w:r>
        <w:rPr>
          <w:rFonts w:ascii="Garamond" w:hAnsi="Garamond"/>
        </w:rPr>
        <w:t xml:space="preserve">FoRS, </w:t>
      </w:r>
      <w:r w:rsidRPr="009657F6">
        <w:rPr>
          <w:rFonts w:ascii="Garamond" w:hAnsi="Garamond"/>
        </w:rPr>
        <w:t xml:space="preserve">AidWatch </w:t>
      </w:r>
      <w:r>
        <w:rPr>
          <w:rFonts w:ascii="Garamond" w:hAnsi="Garamond"/>
        </w:rPr>
        <w:t>Report (</w:t>
      </w:r>
      <w:r w:rsidRPr="009657F6">
        <w:rPr>
          <w:rFonts w:ascii="Garamond" w:hAnsi="Garamond"/>
        </w:rPr>
        <w:t>2014</w:t>
      </w:r>
      <w:r>
        <w:rPr>
          <w:rFonts w:ascii="Garamond" w:hAnsi="Garamond"/>
        </w:rPr>
        <w:t>)</w:t>
      </w:r>
    </w:p>
  </w:footnote>
  <w:footnote w:id="5">
    <w:p w:rsidR="0068201B" w:rsidRDefault="0068201B">
      <w:pPr>
        <w:pStyle w:val="FootnoteText"/>
      </w:pPr>
      <w:r w:rsidRPr="009657F6">
        <w:rPr>
          <w:rStyle w:val="FootnoteReference"/>
          <w:rFonts w:ascii="Garamond" w:hAnsi="Garamond"/>
        </w:rPr>
        <w:footnoteRef/>
      </w:r>
      <w:r w:rsidRPr="009657F6">
        <w:rPr>
          <w:rFonts w:ascii="Garamond" w:hAnsi="Garamond"/>
        </w:rPr>
        <w:t xml:space="preserve"> </w:t>
      </w:r>
      <w:r>
        <w:rPr>
          <w:rFonts w:ascii="Garamond" w:hAnsi="Garamond"/>
        </w:rPr>
        <w:t xml:space="preserve">FoRS, </w:t>
      </w:r>
      <w:r w:rsidRPr="009657F6">
        <w:rPr>
          <w:rFonts w:ascii="Garamond" w:hAnsi="Garamond"/>
        </w:rPr>
        <w:t xml:space="preserve">Country page </w:t>
      </w:r>
      <w:r>
        <w:rPr>
          <w:rFonts w:ascii="Garamond" w:hAnsi="Garamond"/>
        </w:rPr>
        <w:t xml:space="preserve">for the </w:t>
      </w:r>
      <w:r w:rsidRPr="009657F6">
        <w:rPr>
          <w:rFonts w:ascii="Garamond" w:hAnsi="Garamond"/>
        </w:rPr>
        <w:t xml:space="preserve">CONCORD </w:t>
      </w:r>
      <w:r>
        <w:rPr>
          <w:rFonts w:ascii="Garamond" w:hAnsi="Garamond"/>
        </w:rPr>
        <w:t>AidWatch Report (</w:t>
      </w:r>
      <w:r w:rsidRPr="009657F6">
        <w:rPr>
          <w:rFonts w:ascii="Garamond" w:hAnsi="Garamond"/>
        </w:rPr>
        <w:t>2014</w:t>
      </w:r>
      <w:r>
        <w:rPr>
          <w:rFonts w:ascii="Garamond" w:hAnsi="Garamond"/>
        </w:rPr>
        <w:t>)</w:t>
      </w:r>
    </w:p>
  </w:footnote>
  <w:footnote w:id="6">
    <w:p w:rsidR="0068201B" w:rsidRPr="009657F6" w:rsidRDefault="0068201B" w:rsidP="00B62A34">
      <w:pPr>
        <w:pStyle w:val="FootnoteText"/>
        <w:rPr>
          <w:rFonts w:ascii="Garamond" w:hAnsi="Garamond"/>
        </w:rPr>
      </w:pPr>
      <w:r w:rsidRPr="009657F6">
        <w:rPr>
          <w:rStyle w:val="FootnoteReference"/>
          <w:rFonts w:ascii="Garamond" w:hAnsi="Garamond"/>
        </w:rPr>
        <w:footnoteRef/>
      </w:r>
      <w:r w:rsidRPr="009657F6">
        <w:rPr>
          <w:rFonts w:ascii="Garamond" w:hAnsi="Garamond"/>
        </w:rPr>
        <w:t xml:space="preserve"> The Czech legal framework promotes and protects the respect of freedom of association including: </w:t>
      </w:r>
    </w:p>
    <w:p w:rsidR="0068201B" w:rsidRPr="009657F6" w:rsidRDefault="0068201B" w:rsidP="009E7319">
      <w:pPr>
        <w:pStyle w:val="FootnoteText"/>
        <w:ind w:left="568" w:hanging="284"/>
        <w:rPr>
          <w:rFonts w:ascii="Garamond" w:hAnsi="Garamond"/>
        </w:rPr>
      </w:pPr>
      <w:r w:rsidRPr="009657F6">
        <w:rPr>
          <w:rFonts w:ascii="Garamond" w:hAnsi="Garamond"/>
        </w:rPr>
        <w:t>i)</w:t>
      </w:r>
      <w:r w:rsidRPr="009657F6">
        <w:rPr>
          <w:rFonts w:ascii="Garamond" w:hAnsi="Garamond"/>
        </w:rPr>
        <w:tab/>
        <w:t xml:space="preserve">the rights of all individuals to form, join and participate in an association, at national and international levels, with legal entity status if the founders so desire; </w:t>
      </w:r>
    </w:p>
    <w:p w:rsidR="0068201B" w:rsidRPr="009657F6" w:rsidRDefault="0068201B" w:rsidP="009E7319">
      <w:pPr>
        <w:pStyle w:val="FootnoteText"/>
        <w:ind w:left="568" w:hanging="284"/>
        <w:rPr>
          <w:rFonts w:ascii="Garamond" w:hAnsi="Garamond"/>
        </w:rPr>
      </w:pPr>
      <w:r w:rsidRPr="009657F6">
        <w:rPr>
          <w:rFonts w:ascii="Garamond" w:hAnsi="Garamond"/>
        </w:rPr>
        <w:t>ii)</w:t>
      </w:r>
      <w:r w:rsidRPr="009657F6">
        <w:rPr>
          <w:rFonts w:ascii="Garamond" w:hAnsi="Garamond"/>
        </w:rPr>
        <w:tab/>
        <w:t xml:space="preserve">the right of CSOs to operate free from unwarranted state intrusion or interference in their affairs; </w:t>
      </w:r>
    </w:p>
    <w:p w:rsidR="0068201B" w:rsidRPr="009657F6" w:rsidRDefault="0068201B" w:rsidP="009E7319">
      <w:pPr>
        <w:pStyle w:val="FootnoteText"/>
        <w:ind w:left="568" w:hanging="284"/>
        <w:rPr>
          <w:rFonts w:ascii="Garamond" w:hAnsi="Garamond"/>
        </w:rPr>
      </w:pPr>
      <w:r w:rsidRPr="009657F6">
        <w:rPr>
          <w:rFonts w:ascii="Garamond" w:hAnsi="Garamond"/>
        </w:rPr>
        <w:t>iii)</w:t>
      </w:r>
      <w:r w:rsidRPr="009657F6">
        <w:rPr>
          <w:rFonts w:ascii="Garamond" w:hAnsi="Garamond"/>
        </w:rPr>
        <w:tab/>
        <w:t>the right to pursue a broad range of self-defined objectives, including to seek and secure funding from domestic, foreign and international sources; and</w:t>
      </w:r>
    </w:p>
    <w:p w:rsidR="0068201B" w:rsidRDefault="0068201B" w:rsidP="009E7319">
      <w:pPr>
        <w:pStyle w:val="FootnoteText"/>
        <w:ind w:left="568" w:hanging="284"/>
      </w:pPr>
      <w:r w:rsidRPr="009657F6">
        <w:rPr>
          <w:rFonts w:ascii="Garamond" w:hAnsi="Garamond"/>
        </w:rPr>
        <w:t>iv)</w:t>
      </w:r>
      <w:r w:rsidRPr="009657F6">
        <w:rPr>
          <w:rFonts w:ascii="Garamond" w:hAnsi="Garamond"/>
        </w:rPr>
        <w:tab/>
        <w:t>other basic rights, mainly the right to freedom of peaceful assembly; the right to freedom of expression; and the right to communication and cooperation with others in all sectors, within and across borders.</w:t>
      </w:r>
    </w:p>
  </w:footnote>
  <w:footnote w:id="7">
    <w:p w:rsidR="0068201B" w:rsidRDefault="0068201B" w:rsidP="009B35CA">
      <w:pPr>
        <w:pStyle w:val="FootnoteText"/>
      </w:pPr>
      <w:r w:rsidRPr="006E4353">
        <w:rPr>
          <w:rStyle w:val="FootnoteReference"/>
          <w:rFonts w:ascii="Garamond" w:hAnsi="Garamond"/>
        </w:rPr>
        <w:footnoteRef/>
      </w:r>
      <w:r w:rsidRPr="006E4353">
        <w:rPr>
          <w:rFonts w:ascii="Garamond" w:hAnsi="Garamond"/>
        </w:rPr>
        <w:t xml:space="preserve"> </w:t>
      </w:r>
      <w:r>
        <w:rPr>
          <w:rFonts w:ascii="Garamond" w:hAnsi="Garamond"/>
        </w:rPr>
        <w:t xml:space="preserve">FoRS, </w:t>
      </w:r>
      <w:r w:rsidRPr="006E4353">
        <w:rPr>
          <w:rFonts w:ascii="Garamond" w:hAnsi="Garamond"/>
        </w:rPr>
        <w:t xml:space="preserve">AidWatch </w:t>
      </w:r>
      <w:r>
        <w:rPr>
          <w:rFonts w:ascii="Garamond" w:hAnsi="Garamond"/>
        </w:rPr>
        <w:t>Report</w:t>
      </w:r>
      <w:r w:rsidRPr="006E4353">
        <w:rPr>
          <w:rFonts w:ascii="Garamond" w:hAnsi="Garamond"/>
        </w:rPr>
        <w:t xml:space="preserve"> </w:t>
      </w:r>
      <w:r>
        <w:rPr>
          <w:rFonts w:ascii="Garamond" w:hAnsi="Garamond"/>
        </w:rPr>
        <w:t>(</w:t>
      </w:r>
      <w:r w:rsidRPr="006E4353">
        <w:rPr>
          <w:rFonts w:ascii="Garamond" w:hAnsi="Garamond"/>
        </w:rPr>
        <w:t>2014</w:t>
      </w:r>
      <w:r>
        <w:rPr>
          <w:rFonts w:ascii="Garamond" w:hAnsi="Garamond"/>
        </w:rPr>
        <w:t>)</w:t>
      </w:r>
    </w:p>
  </w:footnote>
  <w:footnote w:id="8">
    <w:p w:rsidR="0068201B" w:rsidRDefault="0068201B">
      <w:pPr>
        <w:pStyle w:val="FootnoteText"/>
      </w:pPr>
      <w:r w:rsidRPr="0034006E">
        <w:rPr>
          <w:rStyle w:val="FootnoteReference"/>
          <w:rFonts w:ascii="Garamond" w:hAnsi="Garamond"/>
        </w:rPr>
        <w:footnoteRef/>
      </w:r>
      <w:r w:rsidRPr="0034006E">
        <w:rPr>
          <w:rFonts w:ascii="Garamond" w:hAnsi="Garamond"/>
        </w:rPr>
        <w:t xml:space="preserve"> There are other related strategies such as the National Strategy for Global Development Education (2011-2015) or the Strategy for granting scholarships to students from d</w:t>
      </w:r>
      <w:r>
        <w:rPr>
          <w:rFonts w:ascii="Garamond" w:hAnsi="Garamond"/>
        </w:rPr>
        <w:t>eveloping countries (2013-2017)</w:t>
      </w:r>
    </w:p>
  </w:footnote>
  <w:footnote w:id="9">
    <w:p w:rsidR="0068201B" w:rsidRDefault="0068201B">
      <w:pPr>
        <w:pStyle w:val="FootnoteText"/>
      </w:pPr>
      <w:r w:rsidRPr="00011483">
        <w:rPr>
          <w:rStyle w:val="FootnoteReference"/>
          <w:rFonts w:ascii="Garamond" w:hAnsi="Garamond"/>
        </w:rPr>
        <w:footnoteRef/>
      </w:r>
      <w:r w:rsidRPr="00011483">
        <w:rPr>
          <w:rFonts w:ascii="Garamond" w:hAnsi="Garamond"/>
        </w:rPr>
        <w:t xml:space="preserve"> </w:t>
      </w:r>
      <w:hyperlink r:id="rId1" w:history="1">
        <w:r w:rsidRPr="00CF399C">
          <w:rPr>
            <w:rStyle w:val="Hyperlink"/>
            <w:rFonts w:ascii="Garamond" w:hAnsi="Garamond" w:cs="Calibri"/>
            <w:color w:val="auto"/>
            <w:u w:val="none"/>
          </w:rPr>
          <w:t>www.ppzrs.org</w:t>
        </w:r>
      </w:hyperlink>
    </w:p>
  </w:footnote>
  <w:footnote w:id="10">
    <w:p w:rsidR="0068201B" w:rsidRDefault="0068201B" w:rsidP="00D749B2">
      <w:pPr>
        <w:pStyle w:val="FootnoteText"/>
      </w:pPr>
      <w:r w:rsidRPr="002D2688">
        <w:rPr>
          <w:rStyle w:val="FootnoteReference"/>
          <w:rFonts w:ascii="Garamond" w:hAnsi="Garamond"/>
        </w:rPr>
        <w:footnoteRef/>
      </w:r>
      <w:r w:rsidRPr="002D2688">
        <w:rPr>
          <w:rFonts w:ascii="Garamond" w:hAnsi="Garamond"/>
        </w:rPr>
        <w:t xml:space="preserve"> </w:t>
      </w:r>
      <w:r>
        <w:rPr>
          <w:rFonts w:ascii="Garamond" w:hAnsi="Garamond"/>
        </w:rPr>
        <w:t xml:space="preserve">FoRS, </w:t>
      </w:r>
      <w:r w:rsidRPr="002D2688">
        <w:rPr>
          <w:rFonts w:ascii="Garamond" w:hAnsi="Garamond"/>
        </w:rPr>
        <w:t xml:space="preserve">Country page </w:t>
      </w:r>
      <w:r>
        <w:rPr>
          <w:rFonts w:ascii="Garamond" w:hAnsi="Garamond"/>
        </w:rPr>
        <w:t xml:space="preserve">for the </w:t>
      </w:r>
      <w:r w:rsidRPr="002D2688">
        <w:rPr>
          <w:rFonts w:ascii="Garamond" w:hAnsi="Garamond"/>
        </w:rPr>
        <w:t xml:space="preserve">CONCORD </w:t>
      </w:r>
      <w:r>
        <w:rPr>
          <w:rFonts w:ascii="Garamond" w:hAnsi="Garamond"/>
        </w:rPr>
        <w:t>AidWatch Report (</w:t>
      </w:r>
      <w:r w:rsidRPr="002D2688">
        <w:rPr>
          <w:rFonts w:ascii="Garamond" w:hAnsi="Garamond"/>
        </w:rPr>
        <w:t>2014</w:t>
      </w:r>
      <w:r>
        <w:rPr>
          <w:rFonts w:ascii="Garamond" w:hAnsi="Garamond"/>
        </w:rPr>
        <w:t>)</w:t>
      </w:r>
      <w:r w:rsidRPr="002D2688">
        <w:rPr>
          <w:rFonts w:ascii="Garamond" w:hAnsi="Garamond"/>
        </w:rPr>
        <w:t xml:space="preserve">, </w:t>
      </w:r>
      <w:r>
        <w:rPr>
          <w:rFonts w:ascii="Garamond" w:hAnsi="Garamond"/>
        </w:rPr>
        <w:t xml:space="preserve">FoRS, </w:t>
      </w:r>
      <w:r w:rsidRPr="002D2688">
        <w:rPr>
          <w:rFonts w:ascii="Garamond" w:hAnsi="Garamond"/>
        </w:rPr>
        <w:t xml:space="preserve">AidWatch </w:t>
      </w:r>
      <w:r>
        <w:rPr>
          <w:rFonts w:ascii="Garamond" w:hAnsi="Garamond"/>
        </w:rPr>
        <w:t>Report (2014)</w:t>
      </w:r>
    </w:p>
  </w:footnote>
  <w:footnote w:id="11">
    <w:p w:rsidR="0068201B" w:rsidRDefault="0068201B" w:rsidP="00D40487">
      <w:pPr>
        <w:pStyle w:val="FootnoteText"/>
      </w:pPr>
      <w:r w:rsidRPr="002D2688">
        <w:rPr>
          <w:rStyle w:val="FootnoteReference"/>
          <w:rFonts w:ascii="Garamond" w:hAnsi="Garamond"/>
        </w:rPr>
        <w:footnoteRef/>
      </w:r>
      <w:r w:rsidRPr="002D2688">
        <w:rPr>
          <w:rFonts w:ascii="Garamond" w:hAnsi="Garamond"/>
        </w:rPr>
        <w:t xml:space="preserve"> </w:t>
      </w:r>
      <w:r>
        <w:rPr>
          <w:rFonts w:ascii="Garamond" w:hAnsi="Garamond"/>
        </w:rPr>
        <w:t>FoRS, ODA</w:t>
      </w:r>
      <w:r w:rsidRPr="009570DD">
        <w:rPr>
          <w:rFonts w:ascii="Garamond" w:hAnsi="Garamond"/>
        </w:rPr>
        <w:t xml:space="preserve"> of the Czech Republic in 2011 - Perspective of the non-governmental organizations joined together in FoRS, Briefing paper (2012), http://www.fors.cz/wp-content/uploads/2012/12/AW-brief-EN.pdf</w:t>
      </w:r>
    </w:p>
  </w:footnote>
  <w:footnote w:id="12">
    <w:p w:rsidR="0068201B" w:rsidRDefault="0068201B" w:rsidP="003F5C02">
      <w:pPr>
        <w:pStyle w:val="FootnoteText"/>
      </w:pPr>
      <w:r w:rsidRPr="002D2688">
        <w:rPr>
          <w:rStyle w:val="FootnoteReference"/>
          <w:rFonts w:ascii="Garamond" w:hAnsi="Garamond"/>
        </w:rPr>
        <w:footnoteRef/>
      </w:r>
      <w:r w:rsidRPr="002D2688">
        <w:rPr>
          <w:rFonts w:ascii="Garamond" w:hAnsi="Garamond"/>
        </w:rPr>
        <w:t xml:space="preserve"> </w:t>
      </w:r>
      <w:r>
        <w:rPr>
          <w:rFonts w:ascii="Garamond" w:hAnsi="Garamond"/>
        </w:rPr>
        <w:t xml:space="preserve">FoRS, </w:t>
      </w:r>
      <w:r w:rsidRPr="002D2688">
        <w:rPr>
          <w:rFonts w:ascii="Garamond" w:hAnsi="Garamond"/>
        </w:rPr>
        <w:t xml:space="preserve">AidWatch </w:t>
      </w:r>
      <w:r>
        <w:rPr>
          <w:rFonts w:ascii="Garamond" w:hAnsi="Garamond"/>
        </w:rPr>
        <w:t>Report</w:t>
      </w:r>
      <w:r w:rsidRPr="002D2688">
        <w:rPr>
          <w:rFonts w:ascii="Garamond" w:hAnsi="Garamond"/>
        </w:rPr>
        <w:t xml:space="preserve"> </w:t>
      </w:r>
      <w:r>
        <w:rPr>
          <w:rFonts w:ascii="Garamond" w:hAnsi="Garamond"/>
        </w:rPr>
        <w:t>(</w:t>
      </w:r>
      <w:r w:rsidRPr="002D2688">
        <w:rPr>
          <w:rFonts w:ascii="Garamond" w:hAnsi="Garamond"/>
        </w:rPr>
        <w:t>2014</w:t>
      </w:r>
      <w:r>
        <w:rPr>
          <w:rFonts w:ascii="Garamond" w:hAnsi="Garamond"/>
        </w:rPr>
        <w:t>)</w:t>
      </w:r>
    </w:p>
  </w:footnote>
  <w:footnote w:id="13">
    <w:p w:rsidR="0068201B" w:rsidRDefault="0068201B">
      <w:pPr>
        <w:pStyle w:val="FootnoteText"/>
      </w:pPr>
      <w:r w:rsidRPr="00F03038">
        <w:rPr>
          <w:rStyle w:val="FootnoteReference"/>
          <w:rFonts w:ascii="Garamond" w:hAnsi="Garamond"/>
        </w:rPr>
        <w:footnoteRef/>
      </w:r>
      <w:r w:rsidRPr="00F03038">
        <w:rPr>
          <w:rFonts w:ascii="Garamond" w:hAnsi="Garamond"/>
        </w:rPr>
        <w:t xml:space="preserve"> The bilateral ODA includes development and </w:t>
      </w:r>
      <w:r>
        <w:rPr>
          <w:rFonts w:ascii="Garamond" w:hAnsi="Garamond"/>
        </w:rPr>
        <w:t>transition</w:t>
      </w:r>
      <w:r w:rsidRPr="00F03038">
        <w:rPr>
          <w:rFonts w:ascii="Garamond" w:hAnsi="Garamond"/>
        </w:rPr>
        <w:t xml:space="preserve"> projects, grant programs for NGOs (including triangular projects), </w:t>
      </w:r>
      <w:r>
        <w:rPr>
          <w:rFonts w:ascii="Garamond" w:hAnsi="Garamond"/>
        </w:rPr>
        <w:t>small grant program</w:t>
      </w:r>
      <w:r w:rsidRPr="00F03038">
        <w:rPr>
          <w:rFonts w:ascii="Garamond" w:hAnsi="Garamond"/>
        </w:rPr>
        <w:t xml:space="preserve"> at the embassies, humanitarian aid, programs for migrants, scholarships, peace missions</w:t>
      </w:r>
      <w:r>
        <w:rPr>
          <w:rFonts w:ascii="Garamond" w:hAnsi="Garamond"/>
        </w:rPr>
        <w:t>,</w:t>
      </w:r>
      <w:r w:rsidRPr="00F03038">
        <w:rPr>
          <w:rFonts w:ascii="Garamond" w:hAnsi="Garamond"/>
        </w:rPr>
        <w:t xml:space="preserve"> and other modalities, </w:t>
      </w:r>
      <w:r>
        <w:rPr>
          <w:rFonts w:ascii="Garamond" w:hAnsi="Garamond"/>
        </w:rPr>
        <w:t xml:space="preserve">plus </w:t>
      </w:r>
      <w:r w:rsidRPr="00F03038">
        <w:rPr>
          <w:rFonts w:ascii="Garamond" w:hAnsi="Garamond"/>
        </w:rPr>
        <w:t>monitoring</w:t>
      </w:r>
      <w:r>
        <w:rPr>
          <w:rFonts w:ascii="Garamond" w:hAnsi="Garamond"/>
        </w:rPr>
        <w:t>,</w:t>
      </w:r>
      <w:r w:rsidRPr="00F03038">
        <w:rPr>
          <w:rFonts w:ascii="Garamond" w:hAnsi="Garamond"/>
        </w:rPr>
        <w:t xml:space="preserve"> evaluation, and administration costs</w:t>
      </w:r>
      <w:r>
        <w:rPr>
          <w:rFonts w:ascii="Garamond" w:hAnsi="Garamond"/>
        </w:rPr>
        <w:t>.</w:t>
      </w:r>
    </w:p>
  </w:footnote>
  <w:footnote w:id="14">
    <w:p w:rsidR="0068201B" w:rsidRDefault="0068201B">
      <w:pPr>
        <w:pStyle w:val="FootnoteText"/>
      </w:pPr>
      <w:r w:rsidRPr="002D2688">
        <w:rPr>
          <w:rStyle w:val="FootnoteReference"/>
          <w:rFonts w:ascii="Garamond" w:hAnsi="Garamond"/>
        </w:rPr>
        <w:footnoteRef/>
      </w:r>
      <w:r w:rsidRPr="002D2688">
        <w:rPr>
          <w:rFonts w:ascii="Garamond" w:hAnsi="Garamond"/>
        </w:rPr>
        <w:t xml:space="preserve"> </w:t>
      </w:r>
      <w:r>
        <w:rPr>
          <w:rFonts w:ascii="Garamond" w:hAnsi="Garamond"/>
        </w:rPr>
        <w:t xml:space="preserve">FoRS, </w:t>
      </w:r>
      <w:r w:rsidRPr="002D2688">
        <w:rPr>
          <w:rFonts w:ascii="Garamond" w:hAnsi="Garamond"/>
        </w:rPr>
        <w:t>Aid</w:t>
      </w:r>
      <w:r>
        <w:rPr>
          <w:rFonts w:ascii="Garamond" w:hAnsi="Garamond"/>
        </w:rPr>
        <w:t>W</w:t>
      </w:r>
      <w:r w:rsidRPr="002D2688">
        <w:rPr>
          <w:rFonts w:ascii="Garamond" w:hAnsi="Garamond"/>
        </w:rPr>
        <w:t xml:space="preserve">atch </w:t>
      </w:r>
      <w:r>
        <w:rPr>
          <w:rFonts w:ascii="Garamond" w:hAnsi="Garamond"/>
        </w:rPr>
        <w:t>Report (2014)</w:t>
      </w:r>
    </w:p>
  </w:footnote>
  <w:footnote w:id="15">
    <w:p w:rsidR="0068201B" w:rsidRDefault="0068201B">
      <w:pPr>
        <w:pStyle w:val="FootnoteText"/>
      </w:pPr>
      <w:r w:rsidRPr="002D2688">
        <w:rPr>
          <w:rStyle w:val="FootnoteReference"/>
          <w:rFonts w:ascii="Garamond" w:hAnsi="Garamond"/>
        </w:rPr>
        <w:footnoteRef/>
      </w:r>
      <w:r w:rsidRPr="002D2688">
        <w:rPr>
          <w:rFonts w:ascii="Garamond" w:hAnsi="Garamond"/>
        </w:rPr>
        <w:t xml:space="preserve"> FoRS </w:t>
      </w:r>
      <w:r>
        <w:rPr>
          <w:rFonts w:ascii="Garamond" w:hAnsi="Garamond"/>
        </w:rPr>
        <w:t>S</w:t>
      </w:r>
      <w:r w:rsidRPr="002D2688">
        <w:rPr>
          <w:rFonts w:ascii="Garamond" w:hAnsi="Garamond"/>
        </w:rPr>
        <w:t>trategy 2011-2015</w:t>
      </w:r>
      <w:r>
        <w:rPr>
          <w:rFonts w:ascii="Garamond" w:hAnsi="Garamond"/>
        </w:rPr>
        <w:t xml:space="preserve"> (2011), </w:t>
      </w:r>
      <w:hyperlink r:id="rId2" w:history="1">
        <w:r w:rsidRPr="00F03038">
          <w:rPr>
            <w:rStyle w:val="Hyperlink"/>
            <w:rFonts w:ascii="Garamond" w:hAnsi="Garamond"/>
            <w:color w:val="auto"/>
            <w:u w:val="none"/>
          </w:rPr>
          <w:t>http://fors.cz/user_files/strategiefors_final19.12.2011.pdf</w:t>
        </w:r>
      </w:hyperlink>
      <w:r w:rsidRPr="00F03038">
        <w:rPr>
          <w:rFonts w:ascii="Garamond" w:hAnsi="Garamond"/>
        </w:rPr>
        <w:t xml:space="preserve"> </w:t>
      </w:r>
      <w:r>
        <w:rPr>
          <w:rFonts w:ascii="Garamond" w:hAnsi="Garamond"/>
        </w:rPr>
        <w:t>(only in Czech)</w:t>
      </w:r>
    </w:p>
  </w:footnote>
  <w:footnote w:id="16">
    <w:p w:rsidR="0068201B" w:rsidRDefault="0068201B">
      <w:pPr>
        <w:pStyle w:val="FootnoteText"/>
      </w:pPr>
      <w:r w:rsidRPr="00961C35">
        <w:rPr>
          <w:rStyle w:val="FootnoteReference"/>
          <w:rFonts w:ascii="Garamond" w:hAnsi="Garamond"/>
        </w:rPr>
        <w:footnoteRef/>
      </w:r>
      <w:r w:rsidRPr="00961C35">
        <w:rPr>
          <w:rFonts w:ascii="Garamond" w:hAnsi="Garamond"/>
        </w:rPr>
        <w:t xml:space="preserve"> </w:t>
      </w:r>
      <w:r>
        <w:rPr>
          <w:rFonts w:ascii="Garamond" w:hAnsi="Garamond"/>
        </w:rPr>
        <w:t xml:space="preserve">FoRS, </w:t>
      </w:r>
      <w:r w:rsidRPr="00961C35">
        <w:rPr>
          <w:rFonts w:ascii="Garamond" w:hAnsi="Garamond"/>
        </w:rPr>
        <w:t xml:space="preserve">AidWatch </w:t>
      </w:r>
      <w:r>
        <w:rPr>
          <w:rFonts w:ascii="Garamond" w:hAnsi="Garamond"/>
        </w:rPr>
        <w:t>Report (</w:t>
      </w:r>
      <w:r w:rsidRPr="00961C35">
        <w:rPr>
          <w:rFonts w:ascii="Garamond" w:hAnsi="Garamond"/>
        </w:rPr>
        <w:t>2014</w:t>
      </w:r>
      <w:r>
        <w:rPr>
          <w:rFonts w:ascii="Garamond" w:hAnsi="Garamond"/>
        </w:rPr>
        <w:t>)</w:t>
      </w:r>
    </w:p>
  </w:footnote>
  <w:footnote w:id="17">
    <w:p w:rsidR="0068201B" w:rsidRDefault="0068201B">
      <w:pPr>
        <w:pStyle w:val="FootnoteText"/>
      </w:pPr>
      <w:r w:rsidRPr="00961C35">
        <w:rPr>
          <w:rStyle w:val="FootnoteReference"/>
          <w:rFonts w:ascii="Garamond" w:hAnsi="Garamond"/>
        </w:rPr>
        <w:footnoteRef/>
      </w:r>
      <w:r w:rsidRPr="00BB3EF9">
        <w:t xml:space="preserve"> </w:t>
      </w:r>
      <w:r w:rsidRPr="00BB3EF9">
        <w:rPr>
          <w:rFonts w:ascii="Garamond" w:hAnsi="Garamond"/>
        </w:rPr>
        <w:t>FoRS Code on Effectiveness (2011), http://www.fors.cz/user_files/fo</w:t>
      </w:r>
      <w:r>
        <w:rPr>
          <w:rFonts w:ascii="Garamond" w:hAnsi="Garamond"/>
        </w:rPr>
        <w:t>rs_code_on_effectiveness_en.pdf</w:t>
      </w:r>
    </w:p>
  </w:footnote>
  <w:footnote w:id="18">
    <w:p w:rsidR="0068201B" w:rsidRDefault="0068201B" w:rsidP="000121BA">
      <w:pPr>
        <w:pStyle w:val="FootnoteText"/>
      </w:pPr>
      <w:r w:rsidRPr="00961C35">
        <w:rPr>
          <w:rStyle w:val="FootnoteReference"/>
          <w:rFonts w:ascii="Garamond" w:hAnsi="Garamond"/>
        </w:rPr>
        <w:footnoteRef/>
      </w:r>
      <w:r w:rsidRPr="002603D2">
        <w:rPr>
          <w:rFonts w:ascii="Garamond" w:hAnsi="Garamond"/>
        </w:rPr>
        <w:t xml:space="preserve"> www.mzv.cz</w:t>
      </w:r>
    </w:p>
  </w:footnote>
  <w:footnote w:id="19">
    <w:p w:rsidR="0068201B" w:rsidRDefault="0068201B" w:rsidP="00AA66BB">
      <w:pPr>
        <w:pStyle w:val="FootnoteText"/>
      </w:pPr>
      <w:r w:rsidRPr="00961C35">
        <w:rPr>
          <w:rStyle w:val="FootnoteReference"/>
          <w:rFonts w:ascii="Garamond" w:hAnsi="Garamond"/>
        </w:rPr>
        <w:footnoteRef/>
      </w:r>
      <w:r w:rsidRPr="00961C35">
        <w:rPr>
          <w:rFonts w:ascii="Garamond" w:hAnsi="Garamond"/>
        </w:rPr>
        <w:t xml:space="preserve"> </w:t>
      </w:r>
      <w:r>
        <w:rPr>
          <w:rFonts w:ascii="Garamond" w:hAnsi="Garamond"/>
        </w:rPr>
        <w:t xml:space="preserve">FoRS, </w:t>
      </w:r>
      <w:r w:rsidRPr="00961C35">
        <w:rPr>
          <w:rFonts w:ascii="Garamond" w:hAnsi="Garamond" w:cs="Calibri"/>
          <w:color w:val="000000"/>
        </w:rPr>
        <w:t>Country page</w:t>
      </w:r>
      <w:r>
        <w:rPr>
          <w:rFonts w:ascii="Garamond" w:hAnsi="Garamond" w:cs="Calibri"/>
          <w:color w:val="000000"/>
        </w:rPr>
        <w:t xml:space="preserve"> for</w:t>
      </w:r>
      <w:r w:rsidRPr="00961C35">
        <w:rPr>
          <w:rFonts w:ascii="Garamond" w:hAnsi="Garamond" w:cs="Calibri"/>
          <w:color w:val="000000"/>
        </w:rPr>
        <w:t xml:space="preserve"> </w:t>
      </w:r>
      <w:r>
        <w:rPr>
          <w:rFonts w:ascii="Garamond" w:hAnsi="Garamond" w:cs="Calibri"/>
          <w:color w:val="000000"/>
        </w:rPr>
        <w:t xml:space="preserve">the </w:t>
      </w:r>
      <w:r w:rsidRPr="00961C35">
        <w:rPr>
          <w:rFonts w:ascii="Garamond" w:hAnsi="Garamond" w:cs="Calibri"/>
          <w:color w:val="000000"/>
        </w:rPr>
        <w:t>CONCORD</w:t>
      </w:r>
      <w:r>
        <w:rPr>
          <w:rFonts w:ascii="Garamond" w:hAnsi="Garamond" w:cs="Calibri"/>
          <w:color w:val="000000"/>
        </w:rPr>
        <w:t xml:space="preserve"> AidWatch Report (2014)</w:t>
      </w:r>
    </w:p>
  </w:footnote>
  <w:footnote w:id="20">
    <w:p w:rsidR="0068201B" w:rsidRDefault="0068201B">
      <w:pPr>
        <w:pStyle w:val="FootnoteText"/>
      </w:pPr>
      <w:r w:rsidRPr="00961C35">
        <w:rPr>
          <w:rStyle w:val="FootnoteReference"/>
          <w:rFonts w:ascii="Garamond" w:hAnsi="Garamond"/>
        </w:rPr>
        <w:footnoteRef/>
      </w:r>
      <w:r w:rsidRPr="00961C35">
        <w:rPr>
          <w:rFonts w:ascii="Garamond" w:hAnsi="Garamond"/>
        </w:rPr>
        <w:t xml:space="preserve"> </w:t>
      </w:r>
      <w:r w:rsidRPr="007402FD">
        <w:rPr>
          <w:rFonts w:ascii="Garamond" w:hAnsi="Garamond"/>
        </w:rPr>
        <w:t>Körner, M., Píbilová, I.</w:t>
      </w:r>
      <w:r>
        <w:rPr>
          <w:rFonts w:ascii="Garamond" w:hAnsi="Garamond"/>
        </w:rPr>
        <w:t>, FoRS,</w:t>
      </w:r>
      <w:r w:rsidRPr="007402FD">
        <w:rPr>
          <w:rFonts w:ascii="Garamond" w:hAnsi="Garamond"/>
        </w:rPr>
        <w:t xml:space="preserve"> Sustainability of Czech </w:t>
      </w:r>
      <w:r>
        <w:rPr>
          <w:rFonts w:ascii="Garamond" w:hAnsi="Garamond"/>
        </w:rPr>
        <w:t>ODA</w:t>
      </w:r>
      <w:r w:rsidRPr="007402FD">
        <w:rPr>
          <w:rFonts w:ascii="Garamond" w:hAnsi="Garamond"/>
        </w:rPr>
        <w:t xml:space="preserve"> Projects</w:t>
      </w:r>
      <w:r>
        <w:rPr>
          <w:rFonts w:ascii="Garamond" w:hAnsi="Garamond"/>
        </w:rPr>
        <w:t xml:space="preserve"> (2013),</w:t>
      </w:r>
      <w:r w:rsidRPr="007402FD">
        <w:rPr>
          <w:rFonts w:ascii="Garamond" w:hAnsi="Garamond"/>
        </w:rPr>
        <w:t xml:space="preserve"> http://www.fors.cz/wp-content/uploads/2014/04/sustainability-web-FINAL_ENG.pdf</w:t>
      </w:r>
    </w:p>
  </w:footnote>
  <w:footnote w:id="21">
    <w:p w:rsidR="0068201B" w:rsidRDefault="0068201B">
      <w:pPr>
        <w:pStyle w:val="FootnoteText"/>
      </w:pPr>
      <w:r w:rsidRPr="006E4353">
        <w:rPr>
          <w:rStyle w:val="FootnoteReference"/>
          <w:rFonts w:ascii="Garamond" w:hAnsi="Garamond"/>
        </w:rPr>
        <w:footnoteRef/>
      </w:r>
      <w:r w:rsidRPr="006E4353">
        <w:rPr>
          <w:rFonts w:ascii="Garamond" w:hAnsi="Garamond"/>
        </w:rPr>
        <w:t xml:space="preserve"> </w:t>
      </w:r>
      <w:r>
        <w:rPr>
          <w:rFonts w:ascii="Garamond" w:hAnsi="Garamond"/>
        </w:rPr>
        <w:t xml:space="preserve">FoRS, </w:t>
      </w:r>
      <w:r w:rsidRPr="006E4353">
        <w:rPr>
          <w:rFonts w:ascii="Garamond" w:hAnsi="Garamond"/>
        </w:rPr>
        <w:t xml:space="preserve">AidWatch </w:t>
      </w:r>
      <w:r>
        <w:rPr>
          <w:rFonts w:ascii="Garamond" w:hAnsi="Garamond"/>
        </w:rPr>
        <w:t>Report</w:t>
      </w:r>
      <w:r w:rsidRPr="006E4353">
        <w:rPr>
          <w:rFonts w:ascii="Garamond" w:hAnsi="Garamond"/>
        </w:rPr>
        <w:t xml:space="preserve"> </w:t>
      </w:r>
      <w:r>
        <w:rPr>
          <w:rFonts w:ascii="Garamond" w:hAnsi="Garamond"/>
        </w:rPr>
        <w:t>(</w:t>
      </w:r>
      <w:r w:rsidRPr="006E4353">
        <w:rPr>
          <w:rFonts w:ascii="Garamond" w:hAnsi="Garamond"/>
        </w:rPr>
        <w:t>2014</w:t>
      </w:r>
      <w:r>
        <w:rPr>
          <w:rFonts w:ascii="Garamond" w:hAnsi="Garamond"/>
        </w:rPr>
        <w:t>)</w:t>
      </w:r>
    </w:p>
  </w:footnote>
  <w:footnote w:id="22">
    <w:p w:rsidR="0068201B" w:rsidRDefault="0068201B">
      <w:pPr>
        <w:pStyle w:val="FootnoteText"/>
      </w:pPr>
      <w:r w:rsidRPr="006E4353">
        <w:rPr>
          <w:rStyle w:val="FootnoteReference"/>
          <w:rFonts w:ascii="Garamond" w:hAnsi="Garamond"/>
        </w:rPr>
        <w:footnoteRef/>
      </w:r>
      <w:r>
        <w:rPr>
          <w:rFonts w:ascii="Garamond" w:hAnsi="Garamond"/>
        </w:rPr>
        <w:t xml:space="preserve"> </w:t>
      </w:r>
      <w:r w:rsidRPr="007402FD">
        <w:rPr>
          <w:rFonts w:ascii="Garamond" w:hAnsi="Garamond"/>
        </w:rPr>
        <w:t>FoRS, Czech Evaluation Society, How to mainstream the different roles, needs and priorities of women and men in  development, humanitarian, educational and awareness raising projects</w:t>
      </w:r>
      <w:r>
        <w:rPr>
          <w:rFonts w:ascii="Garamond" w:hAnsi="Garamond"/>
        </w:rPr>
        <w:t xml:space="preserve"> (2014)</w:t>
      </w:r>
      <w:r w:rsidRPr="007402FD">
        <w:rPr>
          <w:rFonts w:ascii="Garamond" w:hAnsi="Garamond"/>
        </w:rPr>
        <w:t>, http://www.fors.cz/wp-content/uploads/2014/04/FoRS_CES_Metodika_gender_projektyZRS.pdf (only in Czech)</w:t>
      </w:r>
    </w:p>
  </w:footnote>
  <w:footnote w:id="23">
    <w:p w:rsidR="0068201B" w:rsidRDefault="0068201B">
      <w:pPr>
        <w:pStyle w:val="FootnoteText"/>
      </w:pPr>
      <w:r w:rsidRPr="006E4353">
        <w:rPr>
          <w:rStyle w:val="FootnoteReference"/>
          <w:rFonts w:ascii="Garamond" w:hAnsi="Garamond"/>
        </w:rPr>
        <w:footnoteRef/>
      </w:r>
      <w:r w:rsidRPr="006E4353">
        <w:rPr>
          <w:rFonts w:ascii="Garamond" w:hAnsi="Garamond"/>
        </w:rPr>
        <w:t xml:space="preserve"> FoRS </w:t>
      </w:r>
      <w:r w:rsidRPr="009570DD">
        <w:rPr>
          <w:rFonts w:ascii="Garamond" w:hAnsi="Garamond"/>
        </w:rPr>
        <w:t>position to the Plan of Czech ODA for 2015 and for a mid-term outlook till 2017 (2014)</w:t>
      </w:r>
      <w:r>
        <w:rPr>
          <w:rFonts w:ascii="Garamond" w:hAnsi="Garamond"/>
        </w:rPr>
        <w:t xml:space="preserve"> (only in Czech)</w:t>
      </w:r>
    </w:p>
  </w:footnote>
  <w:footnote w:id="24">
    <w:p w:rsidR="0068201B" w:rsidRDefault="0068201B" w:rsidP="00220B8B">
      <w:pPr>
        <w:pStyle w:val="FootnoteText"/>
      </w:pPr>
      <w:r w:rsidRPr="006E4353">
        <w:rPr>
          <w:rStyle w:val="FootnoteReference"/>
          <w:rFonts w:ascii="Garamond" w:hAnsi="Garamond"/>
        </w:rPr>
        <w:footnoteRef/>
      </w:r>
      <w:r w:rsidRPr="006E4353">
        <w:rPr>
          <w:rFonts w:ascii="Garamond" w:hAnsi="Garamond"/>
        </w:rPr>
        <w:t xml:space="preserve"> http://www.fors.cz/user_files/fors_code_on_effectiveness_en.pdf</w:t>
      </w:r>
    </w:p>
  </w:footnote>
  <w:footnote w:id="25">
    <w:p w:rsidR="0068201B" w:rsidRDefault="0068201B" w:rsidP="009E7319">
      <w:pPr>
        <w:widowControl w:val="0"/>
        <w:spacing w:after="0" w:line="240" w:lineRule="auto"/>
        <w:jc w:val="both"/>
      </w:pPr>
      <w:r w:rsidRPr="006E4353">
        <w:rPr>
          <w:rStyle w:val="FootnoteReference"/>
          <w:rFonts w:ascii="Garamond" w:hAnsi="Garamond"/>
          <w:sz w:val="20"/>
          <w:szCs w:val="20"/>
          <w:lang w:val="en-US"/>
        </w:rPr>
        <w:footnoteRef/>
      </w:r>
      <w:r w:rsidRPr="006E4353">
        <w:rPr>
          <w:rFonts w:ascii="Garamond" w:hAnsi="Garamond"/>
          <w:sz w:val="20"/>
          <w:szCs w:val="20"/>
          <w:lang w:val="en-US"/>
        </w:rPr>
        <w:t xml:space="preserve"> http://bit.ly/MmlxjC</w:t>
      </w:r>
    </w:p>
  </w:footnote>
  <w:footnote w:id="26">
    <w:p w:rsidR="0068201B" w:rsidRDefault="0068201B" w:rsidP="00F33F9A">
      <w:pPr>
        <w:pStyle w:val="FootnoteText"/>
      </w:pPr>
      <w:r w:rsidRPr="006E4353">
        <w:rPr>
          <w:rStyle w:val="FootnoteReference"/>
          <w:rFonts w:ascii="Garamond" w:hAnsi="Garamond"/>
        </w:rPr>
        <w:footnoteRef/>
      </w:r>
      <w:r w:rsidRPr="006E4353">
        <w:rPr>
          <w:rFonts w:ascii="Garamond" w:hAnsi="Garamond"/>
        </w:rPr>
        <w:t xml:space="preserve"> </w:t>
      </w:r>
      <w:r w:rsidRPr="007402FD">
        <w:rPr>
          <w:rFonts w:ascii="Garamond" w:hAnsi="Garamond"/>
        </w:rPr>
        <w:t>C</w:t>
      </w:r>
      <w:r>
        <w:rPr>
          <w:rFonts w:ascii="Garamond" w:hAnsi="Garamond"/>
        </w:rPr>
        <w:t>PDE,</w:t>
      </w:r>
      <w:r w:rsidRPr="007402FD">
        <w:rPr>
          <w:rFonts w:ascii="Garamond" w:hAnsi="Garamond"/>
        </w:rPr>
        <w:t xml:space="preserve"> The Journey from Istanbul: Evidences on the implementation of the CSO Development Effectiveness Principles </w:t>
      </w:r>
      <w:r>
        <w:rPr>
          <w:rFonts w:ascii="Garamond" w:hAnsi="Garamond"/>
        </w:rPr>
        <w:t>(</w:t>
      </w:r>
      <w:r w:rsidRPr="007402FD">
        <w:rPr>
          <w:rFonts w:ascii="Garamond" w:hAnsi="Garamond"/>
        </w:rPr>
        <w:t>2014</w:t>
      </w:r>
      <w:r>
        <w:rPr>
          <w:rFonts w:ascii="Garamond" w:hAnsi="Garamond"/>
        </w:rPr>
        <w:t xml:space="preserve">), </w:t>
      </w:r>
      <w:r w:rsidRPr="009570DD">
        <w:rPr>
          <w:rFonts w:ascii="Garamond" w:hAnsi="Garamond"/>
        </w:rPr>
        <w:t>http://www.csopartnership.org/the-journey-from-istanbul-evidence-on-the-implementation-of-cso-de-principles/</w:t>
      </w:r>
    </w:p>
  </w:footnote>
  <w:footnote w:id="27">
    <w:p w:rsidR="0068201B" w:rsidRDefault="0068201B" w:rsidP="00DC4642">
      <w:pPr>
        <w:pStyle w:val="NoSpacing"/>
        <w:jc w:val="both"/>
      </w:pPr>
      <w:r w:rsidRPr="00955AF7">
        <w:rPr>
          <w:rStyle w:val="FootnoteReference"/>
          <w:rFonts w:ascii="Garamond" w:hAnsi="Garamond"/>
          <w:sz w:val="20"/>
          <w:szCs w:val="20"/>
          <w:lang w:val="en-US"/>
        </w:rPr>
        <w:footnoteRef/>
      </w:r>
      <w:r w:rsidRPr="00955AF7">
        <w:rPr>
          <w:rFonts w:ascii="Garamond" w:hAnsi="Garamond"/>
          <w:sz w:val="20"/>
          <w:szCs w:val="20"/>
          <w:lang w:val="en-US"/>
        </w:rPr>
        <w:t xml:space="preserve"> </w:t>
      </w:r>
      <w:r>
        <w:rPr>
          <w:rFonts w:ascii="Garamond" w:hAnsi="Garamond"/>
          <w:sz w:val="20"/>
          <w:szCs w:val="20"/>
          <w:lang w:val="en-US"/>
        </w:rPr>
        <w:t>FoRS, Inputs from development, environmental and other NGOs for discussions on global development agenda post-2015, addressed to the Czech MFA (2014) (only in Czech)</w:t>
      </w:r>
      <w:r>
        <w:rPr>
          <w:rFonts w:ascii="Garamond" w:hAnsi="Garamond" w:cs="Helvetica"/>
          <w:sz w:val="20"/>
          <w:szCs w:val="20"/>
          <w:lang w:val="en-US" w:eastAsia="en-GB"/>
        </w:rPr>
        <w:t xml:space="preserve"> </w:t>
      </w:r>
    </w:p>
  </w:footnote>
  <w:footnote w:id="28">
    <w:p w:rsidR="0068201B" w:rsidRDefault="0068201B" w:rsidP="00DC4642">
      <w:pPr>
        <w:pStyle w:val="FootnoteText"/>
      </w:pPr>
      <w:r w:rsidRPr="001375D8">
        <w:rPr>
          <w:rStyle w:val="FootnoteReference"/>
          <w:rFonts w:ascii="Garamond" w:hAnsi="Garamond"/>
        </w:rPr>
        <w:footnoteRef/>
      </w:r>
      <w:r w:rsidRPr="001375D8">
        <w:rPr>
          <w:rFonts w:ascii="Garamond" w:hAnsi="Garamond"/>
        </w:rPr>
        <w:t xml:space="preserve"> </w:t>
      </w:r>
      <w:r w:rsidRPr="009570DD">
        <w:rPr>
          <w:rFonts w:ascii="Garamond" w:hAnsi="Garamond"/>
        </w:rPr>
        <w:t>FoRS letter to the MFA (deputy minister for non-European countries and economic diplomacy</w:t>
      </w:r>
      <w:r>
        <w:rPr>
          <w:rFonts w:ascii="Garamond" w:hAnsi="Garamond"/>
        </w:rPr>
        <w:t>) (2014)</w:t>
      </w:r>
      <w:r w:rsidRPr="009570DD">
        <w:rPr>
          <w:rFonts w:ascii="Garamond" w:hAnsi="Garamond"/>
        </w:rPr>
        <w:t xml:space="preserve">: Engagement of FoRS in the European </w:t>
      </w:r>
      <w:r>
        <w:rPr>
          <w:rFonts w:ascii="Garamond" w:hAnsi="Garamond"/>
        </w:rPr>
        <w:t>Year for Development 2015</w:t>
      </w:r>
      <w:r w:rsidRPr="009570DD">
        <w:rPr>
          <w:rFonts w:ascii="Garamond" w:hAnsi="Garamond"/>
        </w:rPr>
        <w:t xml:space="preserve"> (only in Czech)</w:t>
      </w:r>
    </w:p>
  </w:footnote>
  <w:footnote w:id="29">
    <w:p w:rsidR="0068201B" w:rsidRDefault="0068201B" w:rsidP="00072D3D">
      <w:pPr>
        <w:spacing w:after="0" w:line="240" w:lineRule="auto"/>
      </w:pPr>
      <w:r w:rsidRPr="001375D8">
        <w:rPr>
          <w:rStyle w:val="FootnoteCharacters"/>
          <w:rFonts w:ascii="Garamond" w:hAnsi="Garamond"/>
          <w:sz w:val="20"/>
          <w:szCs w:val="20"/>
          <w:vertAlign w:val="superscript"/>
          <w:lang w:val="en-US"/>
        </w:rPr>
        <w:footnoteRef/>
      </w:r>
      <w:r w:rsidRPr="001375D8">
        <w:rPr>
          <w:rFonts w:ascii="Garamond" w:hAnsi="Garamond"/>
          <w:sz w:val="20"/>
          <w:szCs w:val="20"/>
          <w:lang w:val="en-US"/>
        </w:rPr>
        <w:t xml:space="preserve"> E</w:t>
      </w:r>
      <w:r>
        <w:rPr>
          <w:rFonts w:ascii="Garamond" w:hAnsi="Garamond"/>
          <w:sz w:val="20"/>
          <w:szCs w:val="20"/>
          <w:lang w:val="en-US"/>
        </w:rPr>
        <w:t>C</w:t>
      </w:r>
      <w:r w:rsidRPr="001375D8">
        <w:rPr>
          <w:rFonts w:ascii="Garamond" w:hAnsi="Garamond"/>
          <w:sz w:val="20"/>
          <w:szCs w:val="20"/>
          <w:lang w:val="en-US"/>
        </w:rPr>
        <w:t xml:space="preserve"> </w:t>
      </w:r>
      <w:r>
        <w:rPr>
          <w:rFonts w:ascii="Garamond" w:hAnsi="Garamond"/>
          <w:sz w:val="20"/>
          <w:szCs w:val="20"/>
          <w:lang w:val="en-US"/>
        </w:rPr>
        <w:t>(</w:t>
      </w:r>
      <w:r w:rsidRPr="001375D8">
        <w:rPr>
          <w:rFonts w:ascii="Garamond" w:hAnsi="Garamond"/>
          <w:sz w:val="20"/>
          <w:szCs w:val="20"/>
          <w:lang w:val="en-US"/>
        </w:rPr>
        <w:t>2014</w:t>
      </w:r>
      <w:r>
        <w:rPr>
          <w:rFonts w:ascii="Garamond" w:hAnsi="Garamond"/>
          <w:sz w:val="20"/>
          <w:szCs w:val="20"/>
          <w:lang w:val="en-US"/>
        </w:rPr>
        <w:t>)</w:t>
      </w:r>
      <w:r w:rsidRPr="001375D8">
        <w:rPr>
          <w:rFonts w:ascii="Garamond" w:hAnsi="Garamond"/>
          <w:sz w:val="20"/>
          <w:szCs w:val="20"/>
          <w:lang w:val="en-US"/>
        </w:rPr>
        <w:t xml:space="preserve">: EU Development aid and the Millennium Development Goals, Special Eurobarometer 405: </w:t>
      </w:r>
      <w:hyperlink r:id="rId3" w:history="1">
        <w:r w:rsidRPr="001375D8">
          <w:rPr>
            <w:rStyle w:val="Hyperlink"/>
            <w:rFonts w:ascii="Garamond" w:hAnsi="Garamond"/>
            <w:color w:val="auto"/>
            <w:sz w:val="20"/>
            <w:szCs w:val="20"/>
            <w:u w:val="none"/>
            <w:lang w:val="en-US"/>
          </w:rPr>
          <w:t>http://ec.europa.eu/public_opinion/archives/ebs/ebs_405_en.pdf</w:t>
        </w:r>
      </w:hyperlink>
      <w:r>
        <w:rPr>
          <w:lang w:val="en-US"/>
        </w:rPr>
        <w:t>;</w:t>
      </w:r>
      <w:r w:rsidRPr="001375D8">
        <w:rPr>
          <w:rFonts w:ascii="Garamond" w:hAnsi="Garamond"/>
          <w:sz w:val="20"/>
          <w:szCs w:val="20"/>
          <w:lang w:val="en-US"/>
        </w:rPr>
        <w:t xml:space="preserve"> E</w:t>
      </w:r>
      <w:r>
        <w:rPr>
          <w:rFonts w:ascii="Garamond" w:hAnsi="Garamond"/>
          <w:sz w:val="20"/>
          <w:szCs w:val="20"/>
          <w:lang w:val="en-US"/>
        </w:rPr>
        <w:t>C</w:t>
      </w:r>
      <w:r w:rsidRPr="001375D8">
        <w:rPr>
          <w:rFonts w:ascii="Garamond" w:hAnsi="Garamond"/>
          <w:sz w:val="20"/>
          <w:szCs w:val="20"/>
          <w:lang w:val="en-US"/>
        </w:rPr>
        <w:t xml:space="preserve"> </w:t>
      </w:r>
      <w:r>
        <w:rPr>
          <w:rFonts w:ascii="Garamond" w:hAnsi="Garamond"/>
          <w:sz w:val="20"/>
          <w:szCs w:val="20"/>
          <w:lang w:val="en-US"/>
        </w:rPr>
        <w:t>(</w:t>
      </w:r>
      <w:r w:rsidRPr="001375D8">
        <w:rPr>
          <w:rFonts w:ascii="Garamond" w:hAnsi="Garamond"/>
          <w:sz w:val="20"/>
          <w:szCs w:val="20"/>
          <w:lang w:val="en-US"/>
        </w:rPr>
        <w:t>2012</w:t>
      </w:r>
      <w:r>
        <w:rPr>
          <w:rFonts w:ascii="Garamond" w:hAnsi="Garamond"/>
          <w:sz w:val="20"/>
          <w:szCs w:val="20"/>
          <w:lang w:val="en-US"/>
        </w:rPr>
        <w:t>)</w:t>
      </w:r>
      <w:r w:rsidRPr="001375D8">
        <w:rPr>
          <w:rFonts w:ascii="Garamond" w:hAnsi="Garamond"/>
          <w:sz w:val="20"/>
          <w:szCs w:val="20"/>
          <w:lang w:val="en-US"/>
        </w:rPr>
        <w:t xml:space="preserve">: Solidarity that Spans the Globe: Europeans and Development </w:t>
      </w:r>
      <w:r>
        <w:rPr>
          <w:rFonts w:ascii="Garamond" w:hAnsi="Garamond"/>
          <w:sz w:val="20"/>
          <w:szCs w:val="20"/>
          <w:lang w:val="en-US"/>
        </w:rPr>
        <w:t xml:space="preserve">Aid, Special Eurobarometer 392: </w:t>
      </w:r>
      <w:hyperlink r:id="rId4" w:history="1">
        <w:r w:rsidRPr="001375D8">
          <w:rPr>
            <w:rStyle w:val="Hyperlink"/>
            <w:rFonts w:ascii="Garamond" w:hAnsi="Garamond"/>
            <w:color w:val="auto"/>
            <w:sz w:val="20"/>
            <w:szCs w:val="20"/>
            <w:u w:val="none"/>
            <w:lang w:val="en-US"/>
          </w:rPr>
          <w:t>http://ec.europa.eu/public_opinion/archives/ebs/ebs_392_en.pdf</w:t>
        </w:r>
      </w:hyperlink>
      <w:r w:rsidRPr="001375D8">
        <w:rPr>
          <w:rFonts w:ascii="Garamond" w:hAnsi="Garamond"/>
          <w:sz w:val="20"/>
          <w:szCs w:val="20"/>
          <w:lang w:val="en-US"/>
        </w:rPr>
        <w:t xml:space="preserve">. </w:t>
      </w:r>
    </w:p>
  </w:footnote>
  <w:footnote w:id="30">
    <w:p w:rsidR="0068201B" w:rsidRDefault="0068201B">
      <w:pPr>
        <w:pStyle w:val="FootnoteText"/>
      </w:pPr>
      <w:r w:rsidRPr="001375D8">
        <w:rPr>
          <w:rStyle w:val="FootnoteReference"/>
          <w:rFonts w:ascii="Garamond" w:hAnsi="Garamond"/>
        </w:rPr>
        <w:footnoteRef/>
      </w:r>
      <w:r w:rsidRPr="001375D8">
        <w:rPr>
          <w:rFonts w:ascii="Garamond" w:hAnsi="Garamond"/>
        </w:rPr>
        <w:t xml:space="preserve"> </w:t>
      </w:r>
      <w:r>
        <w:rPr>
          <w:rFonts w:ascii="Garamond" w:hAnsi="Garamond"/>
        </w:rPr>
        <w:t xml:space="preserve">FoRS, </w:t>
      </w:r>
      <w:r w:rsidRPr="009570DD">
        <w:rPr>
          <w:rFonts w:ascii="Garamond" w:hAnsi="Garamond"/>
        </w:rPr>
        <w:t xml:space="preserve">Opinion poll: Czech citizens significantly support development cooperation and humanitarian aid, Press release </w:t>
      </w:r>
      <w:r>
        <w:rPr>
          <w:rFonts w:ascii="Garamond" w:hAnsi="Garamond"/>
        </w:rPr>
        <w:t>(</w:t>
      </w:r>
      <w:r w:rsidRPr="009570DD">
        <w:rPr>
          <w:rFonts w:ascii="Garamond" w:hAnsi="Garamond"/>
        </w:rPr>
        <w:t>2014</w:t>
      </w:r>
      <w:r>
        <w:rPr>
          <w:rFonts w:ascii="Garamond" w:hAnsi="Garamond"/>
        </w:rPr>
        <w:t>)</w:t>
      </w:r>
      <w:r w:rsidRPr="009570DD">
        <w:rPr>
          <w:rFonts w:ascii="Garamond" w:hAnsi="Garamond"/>
        </w:rPr>
        <w:t>, http://www.fors.cz/sdruzeni-fors/dokumenty/tiskove-zpravy/#.VF5-gdEtDIU</w:t>
      </w:r>
      <w:r>
        <w:rPr>
          <w:rFonts w:ascii="Garamond" w:hAnsi="Garamond"/>
        </w:rPr>
        <w:t xml:space="preserve"> </w:t>
      </w:r>
      <w:r w:rsidRPr="009570DD">
        <w:rPr>
          <w:rFonts w:ascii="Garamond" w:hAnsi="Garamond"/>
        </w:rPr>
        <w:t>(only in Czech)</w:t>
      </w:r>
    </w:p>
  </w:footnote>
  <w:footnote w:id="31">
    <w:p w:rsidR="0068201B" w:rsidRDefault="0068201B" w:rsidP="00832797">
      <w:pPr>
        <w:spacing w:after="0" w:line="240" w:lineRule="auto"/>
      </w:pPr>
      <w:r w:rsidRPr="00832797">
        <w:rPr>
          <w:rStyle w:val="FootnoteReference"/>
          <w:rFonts w:ascii="Garamond" w:hAnsi="Garamond"/>
          <w:sz w:val="20"/>
          <w:szCs w:val="20"/>
          <w:lang w:val="en-US"/>
        </w:rPr>
        <w:footnoteRef/>
      </w:r>
      <w:r w:rsidRPr="00832797">
        <w:rPr>
          <w:rFonts w:ascii="Garamond" w:hAnsi="Garamond"/>
          <w:sz w:val="20"/>
          <w:szCs w:val="20"/>
          <w:lang w:val="en-US"/>
        </w:rPr>
        <w:t xml:space="preserve"> </w:t>
      </w:r>
      <w:r>
        <w:rPr>
          <w:rFonts w:ascii="Garamond" w:hAnsi="Garamond"/>
          <w:sz w:val="20"/>
          <w:szCs w:val="20"/>
          <w:lang w:val="en-US"/>
        </w:rPr>
        <w:t xml:space="preserve">FoRS, </w:t>
      </w:r>
      <w:r w:rsidRPr="00832797">
        <w:rPr>
          <w:rFonts w:ascii="Garamond" w:hAnsi="Garamond"/>
          <w:sz w:val="20"/>
          <w:szCs w:val="20"/>
          <w:lang w:val="en-US"/>
        </w:rPr>
        <w:t xml:space="preserve">Communication Compass for Development NGOs: Practical Tips and Suggestions for Quality and Effective Public Relations (2014), http://www.fors.cz/wp-content/uploads/2012/08/fors_manual_A5_www.pdf </w:t>
      </w:r>
      <w:r>
        <w:rPr>
          <w:rFonts w:ascii="Garamond" w:hAnsi="Garamond"/>
          <w:sz w:val="20"/>
          <w:szCs w:val="20"/>
          <w:lang w:val="en-US"/>
        </w:rPr>
        <w:t>(only in Czech)</w:t>
      </w:r>
    </w:p>
  </w:footnote>
  <w:footnote w:id="32">
    <w:p w:rsidR="0068201B" w:rsidRDefault="0068201B" w:rsidP="008C6595">
      <w:pPr>
        <w:pStyle w:val="FootnoteText"/>
      </w:pPr>
      <w:r w:rsidRPr="00245C16">
        <w:rPr>
          <w:rStyle w:val="FootnoteReference"/>
          <w:rFonts w:ascii="Garamond" w:hAnsi="Garamond"/>
        </w:rPr>
        <w:footnoteRef/>
      </w:r>
      <w:r w:rsidRPr="00245C16">
        <w:rPr>
          <w:rFonts w:ascii="Garamond" w:hAnsi="Garamond"/>
        </w:rPr>
        <w:t xml:space="preserve"> </w:t>
      </w:r>
      <w:r w:rsidRPr="009570DD">
        <w:rPr>
          <w:rFonts w:ascii="Garamond" w:hAnsi="Garamond"/>
        </w:rPr>
        <w:t>FoRS position to the Plan of Czech ODA for 2015 and for a mid-term outlook till 2017 (2014) (only in Czech)</w:t>
      </w:r>
    </w:p>
  </w:footnote>
  <w:footnote w:id="33">
    <w:p w:rsidR="0068201B" w:rsidRDefault="0068201B" w:rsidP="00816462">
      <w:pPr>
        <w:pStyle w:val="FootnoteText"/>
      </w:pPr>
      <w:r w:rsidRPr="00816462">
        <w:rPr>
          <w:rStyle w:val="FootnoteReference"/>
          <w:rFonts w:ascii="Garamond" w:hAnsi="Garamond"/>
        </w:rPr>
        <w:footnoteRef/>
      </w:r>
      <w:r w:rsidRPr="00816462">
        <w:rPr>
          <w:rFonts w:ascii="Garamond" w:hAnsi="Garamond"/>
        </w:rPr>
        <w:t xml:space="preserve"> Despite the resumption of economic growth, total </w:t>
      </w:r>
      <w:r>
        <w:rPr>
          <w:rFonts w:ascii="Garamond" w:hAnsi="Garamond"/>
        </w:rPr>
        <w:t>ODA</w:t>
      </w:r>
      <w:r w:rsidRPr="00816462">
        <w:rPr>
          <w:rFonts w:ascii="Garamond" w:hAnsi="Garamond"/>
        </w:rPr>
        <w:t>/GNI ratio fell back to 0.11% in 2013 – the lowest percentage since 2007 (ODA budget stagnates</w:t>
      </w:r>
      <w:r>
        <w:rPr>
          <w:rFonts w:ascii="Garamond" w:hAnsi="Garamond"/>
        </w:rPr>
        <w:t xml:space="preserve"> in spite of the commitment of 0.33</w:t>
      </w:r>
      <w:r w:rsidRPr="00816462">
        <w:rPr>
          <w:rFonts w:ascii="Garamond" w:hAnsi="Garamond"/>
        </w:rPr>
        <w:t xml:space="preserve">% </w:t>
      </w:r>
      <w:r>
        <w:rPr>
          <w:rFonts w:ascii="Garamond" w:hAnsi="Garamond"/>
        </w:rPr>
        <w:t>ODA/</w:t>
      </w:r>
      <w:r w:rsidRPr="00816462">
        <w:rPr>
          <w:rFonts w:ascii="Garamond" w:hAnsi="Garamond"/>
        </w:rPr>
        <w:t xml:space="preserve">GNI by 2015; </w:t>
      </w:r>
      <w:r>
        <w:rPr>
          <w:rFonts w:ascii="Garamond" w:hAnsi="Garamond"/>
        </w:rPr>
        <w:t>m</w:t>
      </w:r>
      <w:r w:rsidRPr="00816462">
        <w:rPr>
          <w:rFonts w:ascii="Garamond" w:hAnsi="Garamond"/>
        </w:rPr>
        <w:t>ultilateral aid amounted to 73% of total aid and consisted mainly of mandatory contributions (e.</w:t>
      </w:r>
      <w:r>
        <w:rPr>
          <w:rFonts w:ascii="Garamond" w:hAnsi="Garamond"/>
        </w:rPr>
        <w:t>g. to the EU budget and the</w:t>
      </w:r>
      <w:r w:rsidRPr="00816462">
        <w:rPr>
          <w:rFonts w:ascii="Garamond" w:hAnsi="Garamond"/>
        </w:rPr>
        <w:t xml:space="preserve"> European Development Fund)</w:t>
      </w:r>
      <w:r>
        <w:rPr>
          <w:rFonts w:ascii="Garamond" w:hAnsi="Garamond"/>
        </w:rPr>
        <w:t>,</w:t>
      </w:r>
      <w:r w:rsidRPr="00816462">
        <w:rPr>
          <w:rFonts w:ascii="Garamond" w:hAnsi="Garamond"/>
        </w:rPr>
        <w:t xml:space="preserve"> instead of bilateral and tr</w:t>
      </w:r>
      <w:r>
        <w:rPr>
          <w:rFonts w:ascii="Garamond" w:hAnsi="Garamond"/>
        </w:rPr>
        <w:t xml:space="preserve">iangular projects and programs; </w:t>
      </w:r>
      <w:r w:rsidRPr="00816462">
        <w:rPr>
          <w:rFonts w:ascii="Garamond" w:hAnsi="Garamond"/>
        </w:rPr>
        <w:t>t</w:t>
      </w:r>
      <w:r>
        <w:rPr>
          <w:rFonts w:ascii="Garamond" w:hAnsi="Garamond"/>
        </w:rPr>
        <w:t>he share of bilateral aid to Least Developed Countries is decreasing.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0602462"/>
    <w:multiLevelType w:val="hybridMultilevel"/>
    <w:tmpl w:val="ECFAC828"/>
    <w:lvl w:ilvl="0" w:tplc="82AA5486">
      <w:start w:val="110"/>
      <w:numFmt w:val="bullet"/>
      <w:lvlText w:val="-"/>
      <w:lvlJc w:val="left"/>
      <w:pPr>
        <w:ind w:left="420" w:hanging="360"/>
      </w:pPr>
      <w:rPr>
        <w:rFonts w:ascii="Garamond" w:eastAsia="Times New Roman" w:hAnsi="Garamond" w:hint="default"/>
        <w:b/>
        <w:i w:val="0"/>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3B5955"/>
    <w:multiLevelType w:val="hybridMultilevel"/>
    <w:tmpl w:val="B9A8EC68"/>
    <w:lvl w:ilvl="0" w:tplc="033080A6">
      <w:start w:val="1"/>
      <w:numFmt w:val="bullet"/>
      <w:lvlText w:val=""/>
      <w:lvlJc w:val="left"/>
      <w:pPr>
        <w:tabs>
          <w:tab w:val="num" w:pos="720"/>
        </w:tabs>
        <w:ind w:left="720" w:hanging="360"/>
      </w:pPr>
      <w:rPr>
        <w:rFonts w:ascii="Wingdings" w:hAnsi="Wingdings" w:hint="default"/>
      </w:rPr>
    </w:lvl>
    <w:lvl w:ilvl="1" w:tplc="FAA89BD8">
      <w:start w:val="1"/>
      <w:numFmt w:val="bullet"/>
      <w:lvlText w:val=""/>
      <w:lvlJc w:val="left"/>
      <w:pPr>
        <w:tabs>
          <w:tab w:val="num" w:pos="1440"/>
        </w:tabs>
        <w:ind w:left="1440" w:hanging="360"/>
      </w:pPr>
      <w:rPr>
        <w:rFonts w:ascii="Wingdings" w:hAnsi="Wingdings" w:hint="default"/>
      </w:rPr>
    </w:lvl>
    <w:lvl w:ilvl="2" w:tplc="304C4B12" w:tentative="1">
      <w:start w:val="1"/>
      <w:numFmt w:val="bullet"/>
      <w:lvlText w:val=""/>
      <w:lvlJc w:val="left"/>
      <w:pPr>
        <w:tabs>
          <w:tab w:val="num" w:pos="2160"/>
        </w:tabs>
        <w:ind w:left="2160" w:hanging="360"/>
      </w:pPr>
      <w:rPr>
        <w:rFonts w:ascii="Wingdings" w:hAnsi="Wingdings" w:hint="default"/>
      </w:rPr>
    </w:lvl>
    <w:lvl w:ilvl="3" w:tplc="58EE219C" w:tentative="1">
      <w:start w:val="1"/>
      <w:numFmt w:val="bullet"/>
      <w:lvlText w:val=""/>
      <w:lvlJc w:val="left"/>
      <w:pPr>
        <w:tabs>
          <w:tab w:val="num" w:pos="2880"/>
        </w:tabs>
        <w:ind w:left="2880" w:hanging="360"/>
      </w:pPr>
      <w:rPr>
        <w:rFonts w:ascii="Wingdings" w:hAnsi="Wingdings" w:hint="default"/>
      </w:rPr>
    </w:lvl>
    <w:lvl w:ilvl="4" w:tplc="D9FAC34E" w:tentative="1">
      <w:start w:val="1"/>
      <w:numFmt w:val="bullet"/>
      <w:lvlText w:val=""/>
      <w:lvlJc w:val="left"/>
      <w:pPr>
        <w:tabs>
          <w:tab w:val="num" w:pos="3600"/>
        </w:tabs>
        <w:ind w:left="3600" w:hanging="360"/>
      </w:pPr>
      <w:rPr>
        <w:rFonts w:ascii="Wingdings" w:hAnsi="Wingdings" w:hint="default"/>
      </w:rPr>
    </w:lvl>
    <w:lvl w:ilvl="5" w:tplc="24DA4668" w:tentative="1">
      <w:start w:val="1"/>
      <w:numFmt w:val="bullet"/>
      <w:lvlText w:val=""/>
      <w:lvlJc w:val="left"/>
      <w:pPr>
        <w:tabs>
          <w:tab w:val="num" w:pos="4320"/>
        </w:tabs>
        <w:ind w:left="4320" w:hanging="360"/>
      </w:pPr>
      <w:rPr>
        <w:rFonts w:ascii="Wingdings" w:hAnsi="Wingdings" w:hint="default"/>
      </w:rPr>
    </w:lvl>
    <w:lvl w:ilvl="6" w:tplc="4FFE42CC" w:tentative="1">
      <w:start w:val="1"/>
      <w:numFmt w:val="bullet"/>
      <w:lvlText w:val=""/>
      <w:lvlJc w:val="left"/>
      <w:pPr>
        <w:tabs>
          <w:tab w:val="num" w:pos="5040"/>
        </w:tabs>
        <w:ind w:left="5040" w:hanging="360"/>
      </w:pPr>
      <w:rPr>
        <w:rFonts w:ascii="Wingdings" w:hAnsi="Wingdings" w:hint="default"/>
      </w:rPr>
    </w:lvl>
    <w:lvl w:ilvl="7" w:tplc="F3A48198" w:tentative="1">
      <w:start w:val="1"/>
      <w:numFmt w:val="bullet"/>
      <w:lvlText w:val=""/>
      <w:lvlJc w:val="left"/>
      <w:pPr>
        <w:tabs>
          <w:tab w:val="num" w:pos="5760"/>
        </w:tabs>
        <w:ind w:left="5760" w:hanging="360"/>
      </w:pPr>
      <w:rPr>
        <w:rFonts w:ascii="Wingdings" w:hAnsi="Wingdings" w:hint="default"/>
      </w:rPr>
    </w:lvl>
    <w:lvl w:ilvl="8" w:tplc="100E3004" w:tentative="1">
      <w:start w:val="1"/>
      <w:numFmt w:val="bullet"/>
      <w:lvlText w:val=""/>
      <w:lvlJc w:val="left"/>
      <w:pPr>
        <w:tabs>
          <w:tab w:val="num" w:pos="6480"/>
        </w:tabs>
        <w:ind w:left="6480" w:hanging="360"/>
      </w:pPr>
      <w:rPr>
        <w:rFonts w:ascii="Wingdings" w:hAnsi="Wingdings" w:hint="default"/>
      </w:rPr>
    </w:lvl>
  </w:abstractNum>
  <w:abstractNum w:abstractNumId="3">
    <w:nsid w:val="01902BE8"/>
    <w:multiLevelType w:val="hybridMultilevel"/>
    <w:tmpl w:val="58C0270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3C12A34"/>
    <w:multiLevelType w:val="multilevel"/>
    <w:tmpl w:val="190684C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33F7DDC"/>
    <w:multiLevelType w:val="hybridMultilevel"/>
    <w:tmpl w:val="70FCE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0C336E"/>
    <w:multiLevelType w:val="hybridMultilevel"/>
    <w:tmpl w:val="5FDAC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482640D"/>
    <w:multiLevelType w:val="hybridMultilevel"/>
    <w:tmpl w:val="045EE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6A2526"/>
    <w:multiLevelType w:val="hybridMultilevel"/>
    <w:tmpl w:val="9A264726"/>
    <w:lvl w:ilvl="0" w:tplc="04090001">
      <w:start w:val="1"/>
      <w:numFmt w:val="bullet"/>
      <w:lvlText w:val=""/>
      <w:lvlJc w:val="left"/>
      <w:pPr>
        <w:ind w:left="720" w:hanging="360"/>
      </w:pPr>
      <w:rPr>
        <w:rFonts w:ascii="Symbol" w:hAnsi="Symbol" w:hint="default"/>
      </w:rPr>
    </w:lvl>
    <w:lvl w:ilvl="1" w:tplc="3AB81500">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D4C66"/>
    <w:multiLevelType w:val="hybridMultilevel"/>
    <w:tmpl w:val="313654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8F577DF"/>
    <w:multiLevelType w:val="hybridMultilevel"/>
    <w:tmpl w:val="802EE88A"/>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5DD132E"/>
    <w:multiLevelType w:val="hybridMultilevel"/>
    <w:tmpl w:val="330E0862"/>
    <w:lvl w:ilvl="0" w:tplc="82AA5486">
      <w:start w:val="110"/>
      <w:numFmt w:val="bullet"/>
      <w:lvlText w:val="-"/>
      <w:lvlJc w:val="left"/>
      <w:pPr>
        <w:ind w:left="420" w:hanging="360"/>
      </w:pPr>
      <w:rPr>
        <w:rFonts w:ascii="Garamond" w:eastAsia="Times New Roman" w:hAnsi="Garamond" w:hint="default"/>
        <w:b/>
        <w:i w:val="0"/>
      </w:rPr>
    </w:lvl>
    <w:lvl w:ilvl="1" w:tplc="04050003">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nsid w:val="35F5420A"/>
    <w:multiLevelType w:val="hybridMultilevel"/>
    <w:tmpl w:val="83A2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91F64"/>
    <w:multiLevelType w:val="hybridMultilevel"/>
    <w:tmpl w:val="7AD6F360"/>
    <w:lvl w:ilvl="0" w:tplc="F68C23BE">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821AC9"/>
    <w:multiLevelType w:val="hybridMultilevel"/>
    <w:tmpl w:val="1936A52A"/>
    <w:lvl w:ilvl="0" w:tplc="E2B01766">
      <w:numFmt w:val="bullet"/>
      <w:lvlText w:val="-"/>
      <w:lvlJc w:val="left"/>
      <w:pPr>
        <w:ind w:left="420" w:hanging="360"/>
      </w:pPr>
      <w:rPr>
        <w:rFonts w:ascii="Garamond" w:eastAsia="Times New Roman" w:hAnsi="Garamond"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nsid w:val="4D0D376B"/>
    <w:multiLevelType w:val="hybridMultilevel"/>
    <w:tmpl w:val="6E8ED920"/>
    <w:lvl w:ilvl="0" w:tplc="49CEEC78">
      <w:start w:val="1"/>
      <w:numFmt w:val="decimal"/>
      <w:lvlText w:val="%1."/>
      <w:lvlJc w:val="left"/>
      <w:pPr>
        <w:tabs>
          <w:tab w:val="num" w:pos="720"/>
        </w:tabs>
        <w:ind w:left="720" w:hanging="360"/>
      </w:pPr>
      <w:rPr>
        <w:rFonts w:cs="Times New Roman"/>
      </w:rPr>
    </w:lvl>
    <w:lvl w:ilvl="1" w:tplc="54EA0E56">
      <w:start w:val="1"/>
      <w:numFmt w:val="decimal"/>
      <w:lvlText w:val="%2."/>
      <w:lvlJc w:val="left"/>
      <w:pPr>
        <w:tabs>
          <w:tab w:val="num" w:pos="1440"/>
        </w:tabs>
        <w:ind w:left="1440" w:hanging="360"/>
      </w:pPr>
      <w:rPr>
        <w:rFonts w:cs="Times New Roman"/>
      </w:rPr>
    </w:lvl>
    <w:lvl w:ilvl="2" w:tplc="728ABA84" w:tentative="1">
      <w:start w:val="1"/>
      <w:numFmt w:val="decimal"/>
      <w:lvlText w:val="%3."/>
      <w:lvlJc w:val="left"/>
      <w:pPr>
        <w:tabs>
          <w:tab w:val="num" w:pos="2160"/>
        </w:tabs>
        <w:ind w:left="2160" w:hanging="360"/>
      </w:pPr>
      <w:rPr>
        <w:rFonts w:cs="Times New Roman"/>
      </w:rPr>
    </w:lvl>
    <w:lvl w:ilvl="3" w:tplc="DE02B3FE" w:tentative="1">
      <w:start w:val="1"/>
      <w:numFmt w:val="decimal"/>
      <w:lvlText w:val="%4."/>
      <w:lvlJc w:val="left"/>
      <w:pPr>
        <w:tabs>
          <w:tab w:val="num" w:pos="2880"/>
        </w:tabs>
        <w:ind w:left="2880" w:hanging="360"/>
      </w:pPr>
      <w:rPr>
        <w:rFonts w:cs="Times New Roman"/>
      </w:rPr>
    </w:lvl>
    <w:lvl w:ilvl="4" w:tplc="B6EE51BA" w:tentative="1">
      <w:start w:val="1"/>
      <w:numFmt w:val="decimal"/>
      <w:lvlText w:val="%5."/>
      <w:lvlJc w:val="left"/>
      <w:pPr>
        <w:tabs>
          <w:tab w:val="num" w:pos="3600"/>
        </w:tabs>
        <w:ind w:left="3600" w:hanging="360"/>
      </w:pPr>
      <w:rPr>
        <w:rFonts w:cs="Times New Roman"/>
      </w:rPr>
    </w:lvl>
    <w:lvl w:ilvl="5" w:tplc="9B2A1A86" w:tentative="1">
      <w:start w:val="1"/>
      <w:numFmt w:val="decimal"/>
      <w:lvlText w:val="%6."/>
      <w:lvlJc w:val="left"/>
      <w:pPr>
        <w:tabs>
          <w:tab w:val="num" w:pos="4320"/>
        </w:tabs>
        <w:ind w:left="4320" w:hanging="360"/>
      </w:pPr>
      <w:rPr>
        <w:rFonts w:cs="Times New Roman"/>
      </w:rPr>
    </w:lvl>
    <w:lvl w:ilvl="6" w:tplc="CC0ECCAA" w:tentative="1">
      <w:start w:val="1"/>
      <w:numFmt w:val="decimal"/>
      <w:lvlText w:val="%7."/>
      <w:lvlJc w:val="left"/>
      <w:pPr>
        <w:tabs>
          <w:tab w:val="num" w:pos="5040"/>
        </w:tabs>
        <w:ind w:left="5040" w:hanging="360"/>
      </w:pPr>
      <w:rPr>
        <w:rFonts w:cs="Times New Roman"/>
      </w:rPr>
    </w:lvl>
    <w:lvl w:ilvl="7" w:tplc="202E0F00" w:tentative="1">
      <w:start w:val="1"/>
      <w:numFmt w:val="decimal"/>
      <w:lvlText w:val="%8."/>
      <w:lvlJc w:val="left"/>
      <w:pPr>
        <w:tabs>
          <w:tab w:val="num" w:pos="5760"/>
        </w:tabs>
        <w:ind w:left="5760" w:hanging="360"/>
      </w:pPr>
      <w:rPr>
        <w:rFonts w:cs="Times New Roman"/>
      </w:rPr>
    </w:lvl>
    <w:lvl w:ilvl="8" w:tplc="E696A0B8" w:tentative="1">
      <w:start w:val="1"/>
      <w:numFmt w:val="decimal"/>
      <w:lvlText w:val="%9."/>
      <w:lvlJc w:val="left"/>
      <w:pPr>
        <w:tabs>
          <w:tab w:val="num" w:pos="6480"/>
        </w:tabs>
        <w:ind w:left="6480" w:hanging="360"/>
      </w:pPr>
      <w:rPr>
        <w:rFonts w:cs="Times New Roman"/>
      </w:rPr>
    </w:lvl>
  </w:abstractNum>
  <w:abstractNum w:abstractNumId="16">
    <w:nsid w:val="537F6C35"/>
    <w:multiLevelType w:val="hybridMultilevel"/>
    <w:tmpl w:val="1220D43A"/>
    <w:lvl w:ilvl="0" w:tplc="04090001">
      <w:start w:val="1"/>
      <w:numFmt w:val="bullet"/>
      <w:lvlText w:val=""/>
      <w:lvlJc w:val="left"/>
      <w:pPr>
        <w:ind w:left="720" w:hanging="360"/>
      </w:pPr>
      <w:rPr>
        <w:rFonts w:ascii="Symbol" w:hAnsi="Symbol" w:hint="default"/>
      </w:rPr>
    </w:lvl>
    <w:lvl w:ilvl="1" w:tplc="3AB81500">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F78F5"/>
    <w:multiLevelType w:val="hybridMultilevel"/>
    <w:tmpl w:val="36027A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4C096B"/>
    <w:multiLevelType w:val="hybridMultilevel"/>
    <w:tmpl w:val="EB38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66663"/>
    <w:multiLevelType w:val="hybridMultilevel"/>
    <w:tmpl w:val="3EB63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454523"/>
    <w:multiLevelType w:val="hybridMultilevel"/>
    <w:tmpl w:val="35DC9D0A"/>
    <w:lvl w:ilvl="0" w:tplc="061CDAEA">
      <w:start w:val="1"/>
      <w:numFmt w:val="bullet"/>
      <w:lvlText w:val=""/>
      <w:lvlJc w:val="left"/>
      <w:pPr>
        <w:tabs>
          <w:tab w:val="num" w:pos="720"/>
        </w:tabs>
        <w:ind w:left="720" w:hanging="360"/>
      </w:pPr>
      <w:rPr>
        <w:rFonts w:ascii="Wingdings" w:hAnsi="Wingdings" w:hint="default"/>
      </w:rPr>
    </w:lvl>
    <w:lvl w:ilvl="1" w:tplc="C5DC0EEC">
      <w:start w:val="1"/>
      <w:numFmt w:val="bullet"/>
      <w:lvlText w:val=""/>
      <w:lvlJc w:val="left"/>
      <w:pPr>
        <w:tabs>
          <w:tab w:val="num" w:pos="1440"/>
        </w:tabs>
        <w:ind w:left="1440" w:hanging="360"/>
      </w:pPr>
      <w:rPr>
        <w:rFonts w:ascii="Wingdings" w:hAnsi="Wingdings" w:hint="default"/>
      </w:rPr>
    </w:lvl>
    <w:lvl w:ilvl="2" w:tplc="B1B4FD80" w:tentative="1">
      <w:start w:val="1"/>
      <w:numFmt w:val="bullet"/>
      <w:lvlText w:val=""/>
      <w:lvlJc w:val="left"/>
      <w:pPr>
        <w:tabs>
          <w:tab w:val="num" w:pos="2160"/>
        </w:tabs>
        <w:ind w:left="2160" w:hanging="360"/>
      </w:pPr>
      <w:rPr>
        <w:rFonts w:ascii="Wingdings" w:hAnsi="Wingdings" w:hint="default"/>
      </w:rPr>
    </w:lvl>
    <w:lvl w:ilvl="3" w:tplc="AE2410E4" w:tentative="1">
      <w:start w:val="1"/>
      <w:numFmt w:val="bullet"/>
      <w:lvlText w:val=""/>
      <w:lvlJc w:val="left"/>
      <w:pPr>
        <w:tabs>
          <w:tab w:val="num" w:pos="2880"/>
        </w:tabs>
        <w:ind w:left="2880" w:hanging="360"/>
      </w:pPr>
      <w:rPr>
        <w:rFonts w:ascii="Wingdings" w:hAnsi="Wingdings" w:hint="default"/>
      </w:rPr>
    </w:lvl>
    <w:lvl w:ilvl="4" w:tplc="51F4771A" w:tentative="1">
      <w:start w:val="1"/>
      <w:numFmt w:val="bullet"/>
      <w:lvlText w:val=""/>
      <w:lvlJc w:val="left"/>
      <w:pPr>
        <w:tabs>
          <w:tab w:val="num" w:pos="3600"/>
        </w:tabs>
        <w:ind w:left="3600" w:hanging="360"/>
      </w:pPr>
      <w:rPr>
        <w:rFonts w:ascii="Wingdings" w:hAnsi="Wingdings" w:hint="default"/>
      </w:rPr>
    </w:lvl>
    <w:lvl w:ilvl="5" w:tplc="C50A879A" w:tentative="1">
      <w:start w:val="1"/>
      <w:numFmt w:val="bullet"/>
      <w:lvlText w:val=""/>
      <w:lvlJc w:val="left"/>
      <w:pPr>
        <w:tabs>
          <w:tab w:val="num" w:pos="4320"/>
        </w:tabs>
        <w:ind w:left="4320" w:hanging="360"/>
      </w:pPr>
      <w:rPr>
        <w:rFonts w:ascii="Wingdings" w:hAnsi="Wingdings" w:hint="default"/>
      </w:rPr>
    </w:lvl>
    <w:lvl w:ilvl="6" w:tplc="B6FED52C" w:tentative="1">
      <w:start w:val="1"/>
      <w:numFmt w:val="bullet"/>
      <w:lvlText w:val=""/>
      <w:lvlJc w:val="left"/>
      <w:pPr>
        <w:tabs>
          <w:tab w:val="num" w:pos="5040"/>
        </w:tabs>
        <w:ind w:left="5040" w:hanging="360"/>
      </w:pPr>
      <w:rPr>
        <w:rFonts w:ascii="Wingdings" w:hAnsi="Wingdings" w:hint="default"/>
      </w:rPr>
    </w:lvl>
    <w:lvl w:ilvl="7" w:tplc="73E805FE" w:tentative="1">
      <w:start w:val="1"/>
      <w:numFmt w:val="bullet"/>
      <w:lvlText w:val=""/>
      <w:lvlJc w:val="left"/>
      <w:pPr>
        <w:tabs>
          <w:tab w:val="num" w:pos="5760"/>
        </w:tabs>
        <w:ind w:left="5760" w:hanging="360"/>
      </w:pPr>
      <w:rPr>
        <w:rFonts w:ascii="Wingdings" w:hAnsi="Wingdings" w:hint="default"/>
      </w:rPr>
    </w:lvl>
    <w:lvl w:ilvl="8" w:tplc="230492D6" w:tentative="1">
      <w:start w:val="1"/>
      <w:numFmt w:val="bullet"/>
      <w:lvlText w:val=""/>
      <w:lvlJc w:val="left"/>
      <w:pPr>
        <w:tabs>
          <w:tab w:val="num" w:pos="6480"/>
        </w:tabs>
        <w:ind w:left="6480" w:hanging="360"/>
      </w:pPr>
      <w:rPr>
        <w:rFonts w:ascii="Wingdings" w:hAnsi="Wingdings" w:hint="default"/>
      </w:rPr>
    </w:lvl>
  </w:abstractNum>
  <w:abstractNum w:abstractNumId="21">
    <w:nsid w:val="5FA86832"/>
    <w:multiLevelType w:val="hybridMultilevel"/>
    <w:tmpl w:val="74F2D046"/>
    <w:lvl w:ilvl="0" w:tplc="04050001">
      <w:start w:val="1"/>
      <w:numFmt w:val="bullet"/>
      <w:lvlText w:val=""/>
      <w:lvlJc w:val="left"/>
      <w:pPr>
        <w:ind w:left="420" w:hanging="360"/>
      </w:pPr>
      <w:rPr>
        <w:rFonts w:ascii="Symbol" w:hAnsi="Symbo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1C7199"/>
    <w:multiLevelType w:val="hybridMultilevel"/>
    <w:tmpl w:val="9A1CA5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BAC7F9E"/>
    <w:multiLevelType w:val="hybridMultilevel"/>
    <w:tmpl w:val="42DC54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DB47308"/>
    <w:multiLevelType w:val="hybridMultilevel"/>
    <w:tmpl w:val="6E8ED920"/>
    <w:lvl w:ilvl="0" w:tplc="49CEEC78">
      <w:start w:val="1"/>
      <w:numFmt w:val="decimal"/>
      <w:lvlText w:val="%1."/>
      <w:lvlJc w:val="left"/>
      <w:pPr>
        <w:tabs>
          <w:tab w:val="num" w:pos="720"/>
        </w:tabs>
        <w:ind w:left="720" w:hanging="360"/>
      </w:pPr>
      <w:rPr>
        <w:rFonts w:cs="Times New Roman"/>
      </w:rPr>
    </w:lvl>
    <w:lvl w:ilvl="1" w:tplc="54EA0E56">
      <w:start w:val="1"/>
      <w:numFmt w:val="decimal"/>
      <w:lvlText w:val="%2."/>
      <w:lvlJc w:val="left"/>
      <w:pPr>
        <w:tabs>
          <w:tab w:val="num" w:pos="1440"/>
        </w:tabs>
        <w:ind w:left="1440" w:hanging="360"/>
      </w:pPr>
      <w:rPr>
        <w:rFonts w:cs="Times New Roman"/>
      </w:rPr>
    </w:lvl>
    <w:lvl w:ilvl="2" w:tplc="728ABA84" w:tentative="1">
      <w:start w:val="1"/>
      <w:numFmt w:val="decimal"/>
      <w:lvlText w:val="%3."/>
      <w:lvlJc w:val="left"/>
      <w:pPr>
        <w:tabs>
          <w:tab w:val="num" w:pos="2160"/>
        </w:tabs>
        <w:ind w:left="2160" w:hanging="360"/>
      </w:pPr>
      <w:rPr>
        <w:rFonts w:cs="Times New Roman"/>
      </w:rPr>
    </w:lvl>
    <w:lvl w:ilvl="3" w:tplc="DE02B3FE" w:tentative="1">
      <w:start w:val="1"/>
      <w:numFmt w:val="decimal"/>
      <w:lvlText w:val="%4."/>
      <w:lvlJc w:val="left"/>
      <w:pPr>
        <w:tabs>
          <w:tab w:val="num" w:pos="2880"/>
        </w:tabs>
        <w:ind w:left="2880" w:hanging="360"/>
      </w:pPr>
      <w:rPr>
        <w:rFonts w:cs="Times New Roman"/>
      </w:rPr>
    </w:lvl>
    <w:lvl w:ilvl="4" w:tplc="B6EE51BA" w:tentative="1">
      <w:start w:val="1"/>
      <w:numFmt w:val="decimal"/>
      <w:lvlText w:val="%5."/>
      <w:lvlJc w:val="left"/>
      <w:pPr>
        <w:tabs>
          <w:tab w:val="num" w:pos="3600"/>
        </w:tabs>
        <w:ind w:left="3600" w:hanging="360"/>
      </w:pPr>
      <w:rPr>
        <w:rFonts w:cs="Times New Roman"/>
      </w:rPr>
    </w:lvl>
    <w:lvl w:ilvl="5" w:tplc="9B2A1A86" w:tentative="1">
      <w:start w:val="1"/>
      <w:numFmt w:val="decimal"/>
      <w:lvlText w:val="%6."/>
      <w:lvlJc w:val="left"/>
      <w:pPr>
        <w:tabs>
          <w:tab w:val="num" w:pos="4320"/>
        </w:tabs>
        <w:ind w:left="4320" w:hanging="360"/>
      </w:pPr>
      <w:rPr>
        <w:rFonts w:cs="Times New Roman"/>
      </w:rPr>
    </w:lvl>
    <w:lvl w:ilvl="6" w:tplc="CC0ECCAA" w:tentative="1">
      <w:start w:val="1"/>
      <w:numFmt w:val="decimal"/>
      <w:lvlText w:val="%7."/>
      <w:lvlJc w:val="left"/>
      <w:pPr>
        <w:tabs>
          <w:tab w:val="num" w:pos="5040"/>
        </w:tabs>
        <w:ind w:left="5040" w:hanging="360"/>
      </w:pPr>
      <w:rPr>
        <w:rFonts w:cs="Times New Roman"/>
      </w:rPr>
    </w:lvl>
    <w:lvl w:ilvl="7" w:tplc="202E0F00" w:tentative="1">
      <w:start w:val="1"/>
      <w:numFmt w:val="decimal"/>
      <w:lvlText w:val="%8."/>
      <w:lvlJc w:val="left"/>
      <w:pPr>
        <w:tabs>
          <w:tab w:val="num" w:pos="5760"/>
        </w:tabs>
        <w:ind w:left="5760" w:hanging="360"/>
      </w:pPr>
      <w:rPr>
        <w:rFonts w:cs="Times New Roman"/>
      </w:rPr>
    </w:lvl>
    <w:lvl w:ilvl="8" w:tplc="E696A0B8" w:tentative="1">
      <w:start w:val="1"/>
      <w:numFmt w:val="decimal"/>
      <w:lvlText w:val="%9."/>
      <w:lvlJc w:val="left"/>
      <w:pPr>
        <w:tabs>
          <w:tab w:val="num" w:pos="6480"/>
        </w:tabs>
        <w:ind w:left="6480" w:hanging="360"/>
      </w:pPr>
      <w:rPr>
        <w:rFonts w:cs="Times New Roman"/>
      </w:rPr>
    </w:lvl>
  </w:abstractNum>
  <w:abstractNum w:abstractNumId="25">
    <w:nsid w:val="742F7300"/>
    <w:multiLevelType w:val="hybridMultilevel"/>
    <w:tmpl w:val="210AD5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5F33BE5"/>
    <w:multiLevelType w:val="hybridMultilevel"/>
    <w:tmpl w:val="F208C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9CB292D"/>
    <w:multiLevelType w:val="multilevel"/>
    <w:tmpl w:val="A3AC7E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CD432AC"/>
    <w:multiLevelType w:val="hybridMultilevel"/>
    <w:tmpl w:val="FA46EB12"/>
    <w:lvl w:ilvl="0" w:tplc="D1927258">
      <w:start w:val="1"/>
      <w:numFmt w:val="decimal"/>
      <w:lvlText w:val="%1)"/>
      <w:lvlJc w:val="left"/>
      <w:pPr>
        <w:ind w:left="720" w:hanging="360"/>
      </w:pPr>
      <w:rPr>
        <w:rFonts w:cs="Times New Roman" w:hint="default"/>
        <w:b/>
        <w:i/>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D672DCA"/>
    <w:multiLevelType w:val="hybridMultilevel"/>
    <w:tmpl w:val="82B8572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8"/>
  </w:num>
  <w:num w:numId="2">
    <w:abstractNumId w:val="12"/>
  </w:num>
  <w:num w:numId="3">
    <w:abstractNumId w:val="16"/>
  </w:num>
  <w:num w:numId="4">
    <w:abstractNumId w:val="8"/>
  </w:num>
  <w:num w:numId="5">
    <w:abstractNumId w:val="18"/>
  </w:num>
  <w:num w:numId="6">
    <w:abstractNumId w:val="11"/>
  </w:num>
  <w:num w:numId="7">
    <w:abstractNumId w:val="29"/>
  </w:num>
  <w:num w:numId="8">
    <w:abstractNumId w:val="19"/>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9"/>
  </w:num>
  <w:num w:numId="12">
    <w:abstractNumId w:val="22"/>
  </w:num>
  <w:num w:numId="13">
    <w:abstractNumId w:val="6"/>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2"/>
  </w:num>
  <w:num w:numId="19">
    <w:abstractNumId w:val="20"/>
  </w:num>
  <w:num w:numId="20">
    <w:abstractNumId w:val="24"/>
  </w:num>
  <w:num w:numId="21">
    <w:abstractNumId w:val="3"/>
  </w:num>
  <w:num w:numId="22">
    <w:abstractNumId w:val="5"/>
  </w:num>
  <w:num w:numId="23">
    <w:abstractNumId w:val="23"/>
  </w:num>
  <w:num w:numId="24">
    <w:abstractNumId w:val="17"/>
  </w:num>
  <w:num w:numId="25">
    <w:abstractNumId w:val="7"/>
  </w:num>
  <w:num w:numId="26">
    <w:abstractNumId w:val="13"/>
  </w:num>
  <w:num w:numId="27">
    <w:abstractNumId w:val="21"/>
  </w:num>
  <w:num w:numId="28">
    <w:abstractNumId w:val="1"/>
  </w:num>
  <w:num w:numId="29">
    <w:abstractNumId w:val="14"/>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A43"/>
    <w:rsid w:val="00000F4B"/>
    <w:rsid w:val="00001157"/>
    <w:rsid w:val="00003AB0"/>
    <w:rsid w:val="000055C7"/>
    <w:rsid w:val="00011483"/>
    <w:rsid w:val="000121BA"/>
    <w:rsid w:val="000139F6"/>
    <w:rsid w:val="00017927"/>
    <w:rsid w:val="000218B2"/>
    <w:rsid w:val="00021D0D"/>
    <w:rsid w:val="000220E5"/>
    <w:rsid w:val="0002449A"/>
    <w:rsid w:val="00025183"/>
    <w:rsid w:val="000263D4"/>
    <w:rsid w:val="00031187"/>
    <w:rsid w:val="00032B9A"/>
    <w:rsid w:val="00034701"/>
    <w:rsid w:val="00035804"/>
    <w:rsid w:val="0003637A"/>
    <w:rsid w:val="00036F8B"/>
    <w:rsid w:val="0004221B"/>
    <w:rsid w:val="00044DF5"/>
    <w:rsid w:val="0004531F"/>
    <w:rsid w:val="0004565B"/>
    <w:rsid w:val="00047DB7"/>
    <w:rsid w:val="00055A13"/>
    <w:rsid w:val="00055D34"/>
    <w:rsid w:val="00056DF4"/>
    <w:rsid w:val="00057338"/>
    <w:rsid w:val="00057A69"/>
    <w:rsid w:val="00064D95"/>
    <w:rsid w:val="00065C1F"/>
    <w:rsid w:val="00071420"/>
    <w:rsid w:val="00072D3D"/>
    <w:rsid w:val="000843D0"/>
    <w:rsid w:val="000860AA"/>
    <w:rsid w:val="00086150"/>
    <w:rsid w:val="00086D9F"/>
    <w:rsid w:val="0009283D"/>
    <w:rsid w:val="000A1424"/>
    <w:rsid w:val="000A33A2"/>
    <w:rsid w:val="000A3F2F"/>
    <w:rsid w:val="000A60EF"/>
    <w:rsid w:val="000A69F6"/>
    <w:rsid w:val="000B1741"/>
    <w:rsid w:val="000B1919"/>
    <w:rsid w:val="000B2396"/>
    <w:rsid w:val="000B40D0"/>
    <w:rsid w:val="000B7B81"/>
    <w:rsid w:val="000C240B"/>
    <w:rsid w:val="000C33F3"/>
    <w:rsid w:val="000C3D7C"/>
    <w:rsid w:val="000C7E75"/>
    <w:rsid w:val="000D33AC"/>
    <w:rsid w:val="000E3D32"/>
    <w:rsid w:val="000E44CD"/>
    <w:rsid w:val="000E463C"/>
    <w:rsid w:val="000E4957"/>
    <w:rsid w:val="000E4E50"/>
    <w:rsid w:val="000F0D6C"/>
    <w:rsid w:val="000F0DC1"/>
    <w:rsid w:val="000F12B3"/>
    <w:rsid w:val="000F1C47"/>
    <w:rsid w:val="000F272B"/>
    <w:rsid w:val="000F373C"/>
    <w:rsid w:val="000F463A"/>
    <w:rsid w:val="000F5125"/>
    <w:rsid w:val="000F7BBE"/>
    <w:rsid w:val="001009D5"/>
    <w:rsid w:val="00103D18"/>
    <w:rsid w:val="0010561B"/>
    <w:rsid w:val="00106C0D"/>
    <w:rsid w:val="001100D5"/>
    <w:rsid w:val="00114739"/>
    <w:rsid w:val="00120F43"/>
    <w:rsid w:val="00121AD9"/>
    <w:rsid w:val="00121BB4"/>
    <w:rsid w:val="00124A64"/>
    <w:rsid w:val="00125119"/>
    <w:rsid w:val="0012692A"/>
    <w:rsid w:val="00130B6F"/>
    <w:rsid w:val="00131FBD"/>
    <w:rsid w:val="001321F2"/>
    <w:rsid w:val="0013469F"/>
    <w:rsid w:val="001355DC"/>
    <w:rsid w:val="001375D8"/>
    <w:rsid w:val="001430A1"/>
    <w:rsid w:val="0014538C"/>
    <w:rsid w:val="00145743"/>
    <w:rsid w:val="00146DD8"/>
    <w:rsid w:val="001517E9"/>
    <w:rsid w:val="00152E22"/>
    <w:rsid w:val="00153293"/>
    <w:rsid w:val="001541C8"/>
    <w:rsid w:val="0015550E"/>
    <w:rsid w:val="001637D1"/>
    <w:rsid w:val="00166CC1"/>
    <w:rsid w:val="00170DEB"/>
    <w:rsid w:val="0017117F"/>
    <w:rsid w:val="001720C8"/>
    <w:rsid w:val="00174048"/>
    <w:rsid w:val="001760A7"/>
    <w:rsid w:val="00177BB0"/>
    <w:rsid w:val="0018007B"/>
    <w:rsid w:val="00182CEF"/>
    <w:rsid w:val="00183CDC"/>
    <w:rsid w:val="001862E9"/>
    <w:rsid w:val="00187AB9"/>
    <w:rsid w:val="00190219"/>
    <w:rsid w:val="00193346"/>
    <w:rsid w:val="00195A7A"/>
    <w:rsid w:val="00196254"/>
    <w:rsid w:val="001A0EA5"/>
    <w:rsid w:val="001A2015"/>
    <w:rsid w:val="001A23E9"/>
    <w:rsid w:val="001A57B2"/>
    <w:rsid w:val="001A6C4D"/>
    <w:rsid w:val="001A7B6C"/>
    <w:rsid w:val="001B0709"/>
    <w:rsid w:val="001B1BB5"/>
    <w:rsid w:val="001B4C04"/>
    <w:rsid w:val="001B538C"/>
    <w:rsid w:val="001C14D6"/>
    <w:rsid w:val="001C205E"/>
    <w:rsid w:val="001C20DF"/>
    <w:rsid w:val="001C3D81"/>
    <w:rsid w:val="001C628A"/>
    <w:rsid w:val="001C7C83"/>
    <w:rsid w:val="001D0E30"/>
    <w:rsid w:val="001D0FEF"/>
    <w:rsid w:val="001D12C4"/>
    <w:rsid w:val="001D3F4E"/>
    <w:rsid w:val="001D4463"/>
    <w:rsid w:val="001D6825"/>
    <w:rsid w:val="001D72A0"/>
    <w:rsid w:val="001E09FE"/>
    <w:rsid w:val="001E41A9"/>
    <w:rsid w:val="001F2572"/>
    <w:rsid w:val="001F5F7E"/>
    <w:rsid w:val="001F6555"/>
    <w:rsid w:val="001F7D09"/>
    <w:rsid w:val="002017E7"/>
    <w:rsid w:val="00201FE4"/>
    <w:rsid w:val="00204D5E"/>
    <w:rsid w:val="0020727B"/>
    <w:rsid w:val="0020770A"/>
    <w:rsid w:val="00210494"/>
    <w:rsid w:val="00213560"/>
    <w:rsid w:val="00216CD8"/>
    <w:rsid w:val="00220B8B"/>
    <w:rsid w:val="00220C98"/>
    <w:rsid w:val="00223FB7"/>
    <w:rsid w:val="0022606F"/>
    <w:rsid w:val="00230583"/>
    <w:rsid w:val="002312FD"/>
    <w:rsid w:val="002329B1"/>
    <w:rsid w:val="00235B29"/>
    <w:rsid w:val="00236277"/>
    <w:rsid w:val="00237018"/>
    <w:rsid w:val="00243AEF"/>
    <w:rsid w:val="00243E19"/>
    <w:rsid w:val="0024595A"/>
    <w:rsid w:val="00245C16"/>
    <w:rsid w:val="00246774"/>
    <w:rsid w:val="00246CA8"/>
    <w:rsid w:val="00252329"/>
    <w:rsid w:val="0025451F"/>
    <w:rsid w:val="00255900"/>
    <w:rsid w:val="00255D87"/>
    <w:rsid w:val="00255DC0"/>
    <w:rsid w:val="002603D2"/>
    <w:rsid w:val="0026233E"/>
    <w:rsid w:val="0026260E"/>
    <w:rsid w:val="00263049"/>
    <w:rsid w:val="00264363"/>
    <w:rsid w:val="002648F1"/>
    <w:rsid w:val="00270DE5"/>
    <w:rsid w:val="00272375"/>
    <w:rsid w:val="002738BC"/>
    <w:rsid w:val="00273F60"/>
    <w:rsid w:val="0027488A"/>
    <w:rsid w:val="00275ACE"/>
    <w:rsid w:val="002770BF"/>
    <w:rsid w:val="002778D4"/>
    <w:rsid w:val="00282622"/>
    <w:rsid w:val="00282F77"/>
    <w:rsid w:val="002835CD"/>
    <w:rsid w:val="00287FD7"/>
    <w:rsid w:val="00290C8D"/>
    <w:rsid w:val="00291933"/>
    <w:rsid w:val="00291BDC"/>
    <w:rsid w:val="002932B5"/>
    <w:rsid w:val="0029440E"/>
    <w:rsid w:val="00294516"/>
    <w:rsid w:val="002A01E6"/>
    <w:rsid w:val="002A18B9"/>
    <w:rsid w:val="002A3637"/>
    <w:rsid w:val="002B4B1F"/>
    <w:rsid w:val="002B4E79"/>
    <w:rsid w:val="002B5542"/>
    <w:rsid w:val="002B5AB3"/>
    <w:rsid w:val="002B63CD"/>
    <w:rsid w:val="002B7BC6"/>
    <w:rsid w:val="002B7F26"/>
    <w:rsid w:val="002C154D"/>
    <w:rsid w:val="002C17B5"/>
    <w:rsid w:val="002C1940"/>
    <w:rsid w:val="002C3055"/>
    <w:rsid w:val="002C7E3C"/>
    <w:rsid w:val="002D047A"/>
    <w:rsid w:val="002D2688"/>
    <w:rsid w:val="002D2A84"/>
    <w:rsid w:val="002D50F4"/>
    <w:rsid w:val="002D7314"/>
    <w:rsid w:val="002D7621"/>
    <w:rsid w:val="002E1873"/>
    <w:rsid w:val="002E2822"/>
    <w:rsid w:val="002E2BAC"/>
    <w:rsid w:val="002E68CE"/>
    <w:rsid w:val="002F06A0"/>
    <w:rsid w:val="002F13F1"/>
    <w:rsid w:val="002F1D40"/>
    <w:rsid w:val="002F2BF2"/>
    <w:rsid w:val="002F5E87"/>
    <w:rsid w:val="0030134F"/>
    <w:rsid w:val="0030488B"/>
    <w:rsid w:val="00304FC3"/>
    <w:rsid w:val="00305164"/>
    <w:rsid w:val="0030703F"/>
    <w:rsid w:val="00307A39"/>
    <w:rsid w:val="003115C0"/>
    <w:rsid w:val="00312C1A"/>
    <w:rsid w:val="003168FE"/>
    <w:rsid w:val="003172E5"/>
    <w:rsid w:val="00317DC7"/>
    <w:rsid w:val="003247A5"/>
    <w:rsid w:val="003255CD"/>
    <w:rsid w:val="00326D9E"/>
    <w:rsid w:val="0032727A"/>
    <w:rsid w:val="00327742"/>
    <w:rsid w:val="003319D6"/>
    <w:rsid w:val="00332686"/>
    <w:rsid w:val="00332AF0"/>
    <w:rsid w:val="00332BE5"/>
    <w:rsid w:val="0034006E"/>
    <w:rsid w:val="00340BE1"/>
    <w:rsid w:val="00341244"/>
    <w:rsid w:val="00343829"/>
    <w:rsid w:val="00343ED6"/>
    <w:rsid w:val="00350B88"/>
    <w:rsid w:val="00350C36"/>
    <w:rsid w:val="0035499E"/>
    <w:rsid w:val="003563C1"/>
    <w:rsid w:val="003564F0"/>
    <w:rsid w:val="00360E4A"/>
    <w:rsid w:val="003654D7"/>
    <w:rsid w:val="00371A66"/>
    <w:rsid w:val="0037427D"/>
    <w:rsid w:val="00375602"/>
    <w:rsid w:val="00381EF0"/>
    <w:rsid w:val="0038582C"/>
    <w:rsid w:val="00390160"/>
    <w:rsid w:val="00390357"/>
    <w:rsid w:val="00390EAA"/>
    <w:rsid w:val="00393766"/>
    <w:rsid w:val="00394BCF"/>
    <w:rsid w:val="00395DC5"/>
    <w:rsid w:val="003963C4"/>
    <w:rsid w:val="003A0632"/>
    <w:rsid w:val="003A29FD"/>
    <w:rsid w:val="003A405A"/>
    <w:rsid w:val="003A6522"/>
    <w:rsid w:val="003A68DA"/>
    <w:rsid w:val="003B0289"/>
    <w:rsid w:val="003B0FE0"/>
    <w:rsid w:val="003B276C"/>
    <w:rsid w:val="003B7308"/>
    <w:rsid w:val="003C03FA"/>
    <w:rsid w:val="003C05B5"/>
    <w:rsid w:val="003C11F5"/>
    <w:rsid w:val="003C51EE"/>
    <w:rsid w:val="003C5D64"/>
    <w:rsid w:val="003C67F8"/>
    <w:rsid w:val="003C71CE"/>
    <w:rsid w:val="003D0A3B"/>
    <w:rsid w:val="003D2CE1"/>
    <w:rsid w:val="003D671E"/>
    <w:rsid w:val="003D7B90"/>
    <w:rsid w:val="003D7FB1"/>
    <w:rsid w:val="003E22B4"/>
    <w:rsid w:val="003E25B1"/>
    <w:rsid w:val="003E32EE"/>
    <w:rsid w:val="003E32F8"/>
    <w:rsid w:val="003E50F8"/>
    <w:rsid w:val="003E58EE"/>
    <w:rsid w:val="003E593F"/>
    <w:rsid w:val="003E6FD7"/>
    <w:rsid w:val="003F2A7D"/>
    <w:rsid w:val="003F5C02"/>
    <w:rsid w:val="003F6742"/>
    <w:rsid w:val="003F6E84"/>
    <w:rsid w:val="003F7533"/>
    <w:rsid w:val="003F7B2D"/>
    <w:rsid w:val="00405105"/>
    <w:rsid w:val="00406CEB"/>
    <w:rsid w:val="00410C3A"/>
    <w:rsid w:val="0041174B"/>
    <w:rsid w:val="00413912"/>
    <w:rsid w:val="00414295"/>
    <w:rsid w:val="00414CF1"/>
    <w:rsid w:val="00414E93"/>
    <w:rsid w:val="0041513C"/>
    <w:rsid w:val="00417EB3"/>
    <w:rsid w:val="00432AA6"/>
    <w:rsid w:val="00432FF2"/>
    <w:rsid w:val="0043374D"/>
    <w:rsid w:val="0043500D"/>
    <w:rsid w:val="00435904"/>
    <w:rsid w:val="00437B9F"/>
    <w:rsid w:val="00440F78"/>
    <w:rsid w:val="00444C7F"/>
    <w:rsid w:val="00445A6E"/>
    <w:rsid w:val="00445C0B"/>
    <w:rsid w:val="0044661F"/>
    <w:rsid w:val="004521EE"/>
    <w:rsid w:val="00452FD9"/>
    <w:rsid w:val="004639D4"/>
    <w:rsid w:val="00464CBD"/>
    <w:rsid w:val="004651AA"/>
    <w:rsid w:val="004705DD"/>
    <w:rsid w:val="00471BAA"/>
    <w:rsid w:val="00473E85"/>
    <w:rsid w:val="00476214"/>
    <w:rsid w:val="0047678E"/>
    <w:rsid w:val="0048079A"/>
    <w:rsid w:val="004826CB"/>
    <w:rsid w:val="00482863"/>
    <w:rsid w:val="0048485E"/>
    <w:rsid w:val="00486C4A"/>
    <w:rsid w:val="00487931"/>
    <w:rsid w:val="00496B90"/>
    <w:rsid w:val="004A1164"/>
    <w:rsid w:val="004A2B41"/>
    <w:rsid w:val="004A3B54"/>
    <w:rsid w:val="004A69B6"/>
    <w:rsid w:val="004A700C"/>
    <w:rsid w:val="004B3463"/>
    <w:rsid w:val="004B4CB1"/>
    <w:rsid w:val="004B6032"/>
    <w:rsid w:val="004B7607"/>
    <w:rsid w:val="004B76BC"/>
    <w:rsid w:val="004B7C15"/>
    <w:rsid w:val="004C0600"/>
    <w:rsid w:val="004C25DB"/>
    <w:rsid w:val="004C2BA4"/>
    <w:rsid w:val="004C3547"/>
    <w:rsid w:val="004C3F4C"/>
    <w:rsid w:val="004C7C92"/>
    <w:rsid w:val="004D0336"/>
    <w:rsid w:val="004D71FF"/>
    <w:rsid w:val="004E47D1"/>
    <w:rsid w:val="004E5F1D"/>
    <w:rsid w:val="004F10B5"/>
    <w:rsid w:val="004F4D74"/>
    <w:rsid w:val="00503630"/>
    <w:rsid w:val="0050430D"/>
    <w:rsid w:val="00505616"/>
    <w:rsid w:val="00505B9B"/>
    <w:rsid w:val="00507212"/>
    <w:rsid w:val="0051293A"/>
    <w:rsid w:val="0051333E"/>
    <w:rsid w:val="00513D04"/>
    <w:rsid w:val="00514892"/>
    <w:rsid w:val="00517780"/>
    <w:rsid w:val="005203B2"/>
    <w:rsid w:val="0052259A"/>
    <w:rsid w:val="00523B6C"/>
    <w:rsid w:val="00526E4B"/>
    <w:rsid w:val="00531CD1"/>
    <w:rsid w:val="00534258"/>
    <w:rsid w:val="0053435B"/>
    <w:rsid w:val="005361EE"/>
    <w:rsid w:val="00536646"/>
    <w:rsid w:val="00536A0A"/>
    <w:rsid w:val="00536E55"/>
    <w:rsid w:val="0054007E"/>
    <w:rsid w:val="00540AED"/>
    <w:rsid w:val="00541FAC"/>
    <w:rsid w:val="00546EBF"/>
    <w:rsid w:val="00551B45"/>
    <w:rsid w:val="005556E2"/>
    <w:rsid w:val="00555DEA"/>
    <w:rsid w:val="00560611"/>
    <w:rsid w:val="00571DFE"/>
    <w:rsid w:val="00573234"/>
    <w:rsid w:val="0057374E"/>
    <w:rsid w:val="00574ABC"/>
    <w:rsid w:val="0057652B"/>
    <w:rsid w:val="00576F96"/>
    <w:rsid w:val="00577E56"/>
    <w:rsid w:val="00582940"/>
    <w:rsid w:val="0058502D"/>
    <w:rsid w:val="00585ADA"/>
    <w:rsid w:val="005870D7"/>
    <w:rsid w:val="00592199"/>
    <w:rsid w:val="0059240B"/>
    <w:rsid w:val="00595BF1"/>
    <w:rsid w:val="005B1F4B"/>
    <w:rsid w:val="005B5084"/>
    <w:rsid w:val="005B5723"/>
    <w:rsid w:val="005C2082"/>
    <w:rsid w:val="005C23A2"/>
    <w:rsid w:val="005C2D24"/>
    <w:rsid w:val="005C3C5B"/>
    <w:rsid w:val="005D0DF9"/>
    <w:rsid w:val="005D1AFE"/>
    <w:rsid w:val="005D25CB"/>
    <w:rsid w:val="005D26A3"/>
    <w:rsid w:val="005D5940"/>
    <w:rsid w:val="005D7294"/>
    <w:rsid w:val="005E1B44"/>
    <w:rsid w:val="005E3FC0"/>
    <w:rsid w:val="005E4B69"/>
    <w:rsid w:val="005E6531"/>
    <w:rsid w:val="005F104C"/>
    <w:rsid w:val="005F28CE"/>
    <w:rsid w:val="005F4F6C"/>
    <w:rsid w:val="005F7E4A"/>
    <w:rsid w:val="00602AF3"/>
    <w:rsid w:val="0061117D"/>
    <w:rsid w:val="006111A0"/>
    <w:rsid w:val="00621D00"/>
    <w:rsid w:val="00624043"/>
    <w:rsid w:val="00627E5E"/>
    <w:rsid w:val="00634131"/>
    <w:rsid w:val="00641B89"/>
    <w:rsid w:val="006431D4"/>
    <w:rsid w:val="0064558F"/>
    <w:rsid w:val="0064608A"/>
    <w:rsid w:val="00646B8F"/>
    <w:rsid w:val="00647994"/>
    <w:rsid w:val="00647B43"/>
    <w:rsid w:val="0065210D"/>
    <w:rsid w:val="006525D0"/>
    <w:rsid w:val="0065514B"/>
    <w:rsid w:val="0065585D"/>
    <w:rsid w:val="006567C3"/>
    <w:rsid w:val="0066247E"/>
    <w:rsid w:val="0067494B"/>
    <w:rsid w:val="00676374"/>
    <w:rsid w:val="006769A4"/>
    <w:rsid w:val="0068136C"/>
    <w:rsid w:val="0068151B"/>
    <w:rsid w:val="0068201B"/>
    <w:rsid w:val="0068420C"/>
    <w:rsid w:val="0068560D"/>
    <w:rsid w:val="0068692B"/>
    <w:rsid w:val="00690303"/>
    <w:rsid w:val="00690483"/>
    <w:rsid w:val="00690A82"/>
    <w:rsid w:val="00691A13"/>
    <w:rsid w:val="00694B34"/>
    <w:rsid w:val="006A067A"/>
    <w:rsid w:val="006A4ED7"/>
    <w:rsid w:val="006A6180"/>
    <w:rsid w:val="006A61F5"/>
    <w:rsid w:val="006B0CD0"/>
    <w:rsid w:val="006B6A87"/>
    <w:rsid w:val="006B74BE"/>
    <w:rsid w:val="006B7A43"/>
    <w:rsid w:val="006C174A"/>
    <w:rsid w:val="006C1C5E"/>
    <w:rsid w:val="006D3F6A"/>
    <w:rsid w:val="006D4602"/>
    <w:rsid w:val="006D480D"/>
    <w:rsid w:val="006D68BC"/>
    <w:rsid w:val="006E4353"/>
    <w:rsid w:val="006E462A"/>
    <w:rsid w:val="006E4ECA"/>
    <w:rsid w:val="006E54AB"/>
    <w:rsid w:val="006E7A54"/>
    <w:rsid w:val="006F17B8"/>
    <w:rsid w:val="006F5240"/>
    <w:rsid w:val="006F556F"/>
    <w:rsid w:val="006F695E"/>
    <w:rsid w:val="006F702B"/>
    <w:rsid w:val="00700776"/>
    <w:rsid w:val="00700CF6"/>
    <w:rsid w:val="007050C7"/>
    <w:rsid w:val="00705E54"/>
    <w:rsid w:val="00710453"/>
    <w:rsid w:val="0071381C"/>
    <w:rsid w:val="00714C4B"/>
    <w:rsid w:val="00716030"/>
    <w:rsid w:val="0071766D"/>
    <w:rsid w:val="0072325A"/>
    <w:rsid w:val="00723980"/>
    <w:rsid w:val="00725099"/>
    <w:rsid w:val="00725586"/>
    <w:rsid w:val="007257B1"/>
    <w:rsid w:val="00730B8E"/>
    <w:rsid w:val="00732AA4"/>
    <w:rsid w:val="0073398E"/>
    <w:rsid w:val="00734673"/>
    <w:rsid w:val="007359A6"/>
    <w:rsid w:val="0074004B"/>
    <w:rsid w:val="007402FD"/>
    <w:rsid w:val="0074144A"/>
    <w:rsid w:val="00741CDE"/>
    <w:rsid w:val="007467FE"/>
    <w:rsid w:val="00752987"/>
    <w:rsid w:val="00753AFF"/>
    <w:rsid w:val="00757253"/>
    <w:rsid w:val="0076150B"/>
    <w:rsid w:val="00762F54"/>
    <w:rsid w:val="00763565"/>
    <w:rsid w:val="00763B77"/>
    <w:rsid w:val="00766078"/>
    <w:rsid w:val="0076610D"/>
    <w:rsid w:val="00766130"/>
    <w:rsid w:val="00766A34"/>
    <w:rsid w:val="00780BAE"/>
    <w:rsid w:val="0078158A"/>
    <w:rsid w:val="00781EE4"/>
    <w:rsid w:val="00784898"/>
    <w:rsid w:val="0078719F"/>
    <w:rsid w:val="00787FF9"/>
    <w:rsid w:val="00791C47"/>
    <w:rsid w:val="00792110"/>
    <w:rsid w:val="00792B5E"/>
    <w:rsid w:val="007943E5"/>
    <w:rsid w:val="00797734"/>
    <w:rsid w:val="007A396D"/>
    <w:rsid w:val="007A3A91"/>
    <w:rsid w:val="007A6311"/>
    <w:rsid w:val="007A67BF"/>
    <w:rsid w:val="007A6D77"/>
    <w:rsid w:val="007B2CFA"/>
    <w:rsid w:val="007B4498"/>
    <w:rsid w:val="007B6016"/>
    <w:rsid w:val="007C1CAF"/>
    <w:rsid w:val="007C3BE4"/>
    <w:rsid w:val="007D0891"/>
    <w:rsid w:val="007D16FC"/>
    <w:rsid w:val="007D3808"/>
    <w:rsid w:val="007D3D59"/>
    <w:rsid w:val="007D3F76"/>
    <w:rsid w:val="007D429A"/>
    <w:rsid w:val="007D45A4"/>
    <w:rsid w:val="007D5A3C"/>
    <w:rsid w:val="007D62C9"/>
    <w:rsid w:val="007D6662"/>
    <w:rsid w:val="007E04B5"/>
    <w:rsid w:val="007E0B70"/>
    <w:rsid w:val="007E1C9F"/>
    <w:rsid w:val="007E55EF"/>
    <w:rsid w:val="007E5AE8"/>
    <w:rsid w:val="007E6531"/>
    <w:rsid w:val="007F21F0"/>
    <w:rsid w:val="007F2FD0"/>
    <w:rsid w:val="007F3418"/>
    <w:rsid w:val="007F3675"/>
    <w:rsid w:val="007F457D"/>
    <w:rsid w:val="007F51A6"/>
    <w:rsid w:val="007F587F"/>
    <w:rsid w:val="00802C4C"/>
    <w:rsid w:val="00805475"/>
    <w:rsid w:val="00806CC8"/>
    <w:rsid w:val="00806F46"/>
    <w:rsid w:val="00807BD7"/>
    <w:rsid w:val="00811E72"/>
    <w:rsid w:val="00816462"/>
    <w:rsid w:val="0081781C"/>
    <w:rsid w:val="008207C9"/>
    <w:rsid w:val="00820F41"/>
    <w:rsid w:val="00821489"/>
    <w:rsid w:val="008226F3"/>
    <w:rsid w:val="00823912"/>
    <w:rsid w:val="008263F9"/>
    <w:rsid w:val="008270FD"/>
    <w:rsid w:val="00830199"/>
    <w:rsid w:val="0083084E"/>
    <w:rsid w:val="008308F3"/>
    <w:rsid w:val="00831F7C"/>
    <w:rsid w:val="00832029"/>
    <w:rsid w:val="00832797"/>
    <w:rsid w:val="008332F8"/>
    <w:rsid w:val="00833777"/>
    <w:rsid w:val="008343AE"/>
    <w:rsid w:val="00834EA9"/>
    <w:rsid w:val="00835B63"/>
    <w:rsid w:val="00837C05"/>
    <w:rsid w:val="00840914"/>
    <w:rsid w:val="00845751"/>
    <w:rsid w:val="008464B5"/>
    <w:rsid w:val="008521BD"/>
    <w:rsid w:val="00852DF7"/>
    <w:rsid w:val="00855A68"/>
    <w:rsid w:val="00856BC3"/>
    <w:rsid w:val="008572E6"/>
    <w:rsid w:val="00857714"/>
    <w:rsid w:val="008624A9"/>
    <w:rsid w:val="00866270"/>
    <w:rsid w:val="00867678"/>
    <w:rsid w:val="0087005E"/>
    <w:rsid w:val="00870BEA"/>
    <w:rsid w:val="00872784"/>
    <w:rsid w:val="00873922"/>
    <w:rsid w:val="00874AE5"/>
    <w:rsid w:val="00874E8B"/>
    <w:rsid w:val="00876D66"/>
    <w:rsid w:val="008805F2"/>
    <w:rsid w:val="008810D8"/>
    <w:rsid w:val="00882AA6"/>
    <w:rsid w:val="00883136"/>
    <w:rsid w:val="00884B8D"/>
    <w:rsid w:val="00886806"/>
    <w:rsid w:val="0088758B"/>
    <w:rsid w:val="008A11FC"/>
    <w:rsid w:val="008A347F"/>
    <w:rsid w:val="008A5252"/>
    <w:rsid w:val="008A6730"/>
    <w:rsid w:val="008A7201"/>
    <w:rsid w:val="008B13B2"/>
    <w:rsid w:val="008B532B"/>
    <w:rsid w:val="008B79B5"/>
    <w:rsid w:val="008B7A91"/>
    <w:rsid w:val="008C0666"/>
    <w:rsid w:val="008C1313"/>
    <w:rsid w:val="008C6595"/>
    <w:rsid w:val="008D0655"/>
    <w:rsid w:val="008D13C0"/>
    <w:rsid w:val="008D3443"/>
    <w:rsid w:val="008D41B2"/>
    <w:rsid w:val="008D795E"/>
    <w:rsid w:val="008E6B5F"/>
    <w:rsid w:val="008E75D2"/>
    <w:rsid w:val="008F07FB"/>
    <w:rsid w:val="008F0868"/>
    <w:rsid w:val="008F401E"/>
    <w:rsid w:val="008F5314"/>
    <w:rsid w:val="008F7310"/>
    <w:rsid w:val="009003F8"/>
    <w:rsid w:val="00901229"/>
    <w:rsid w:val="00910D94"/>
    <w:rsid w:val="0091314C"/>
    <w:rsid w:val="009179A9"/>
    <w:rsid w:val="0092218B"/>
    <w:rsid w:val="00923954"/>
    <w:rsid w:val="00925CFB"/>
    <w:rsid w:val="00926696"/>
    <w:rsid w:val="00926C99"/>
    <w:rsid w:val="00930145"/>
    <w:rsid w:val="00932566"/>
    <w:rsid w:val="00933607"/>
    <w:rsid w:val="00935766"/>
    <w:rsid w:val="0093607B"/>
    <w:rsid w:val="009370C0"/>
    <w:rsid w:val="00937B9E"/>
    <w:rsid w:val="00940599"/>
    <w:rsid w:val="00941428"/>
    <w:rsid w:val="009423C8"/>
    <w:rsid w:val="00942FE9"/>
    <w:rsid w:val="00943235"/>
    <w:rsid w:val="009449CD"/>
    <w:rsid w:val="00944B1F"/>
    <w:rsid w:val="00945F30"/>
    <w:rsid w:val="00946AB4"/>
    <w:rsid w:val="00954BA7"/>
    <w:rsid w:val="00955AF7"/>
    <w:rsid w:val="0095665C"/>
    <w:rsid w:val="009570DD"/>
    <w:rsid w:val="00957CEC"/>
    <w:rsid w:val="009614EE"/>
    <w:rsid w:val="00961C35"/>
    <w:rsid w:val="0096403E"/>
    <w:rsid w:val="009649AA"/>
    <w:rsid w:val="009657F6"/>
    <w:rsid w:val="0097006B"/>
    <w:rsid w:val="009704D1"/>
    <w:rsid w:val="00970DBF"/>
    <w:rsid w:val="00971F86"/>
    <w:rsid w:val="00972DB2"/>
    <w:rsid w:val="00972EF6"/>
    <w:rsid w:val="00973534"/>
    <w:rsid w:val="00975566"/>
    <w:rsid w:val="00975841"/>
    <w:rsid w:val="009776FC"/>
    <w:rsid w:val="009801CC"/>
    <w:rsid w:val="009835EA"/>
    <w:rsid w:val="00983937"/>
    <w:rsid w:val="009848C2"/>
    <w:rsid w:val="00987864"/>
    <w:rsid w:val="0098786C"/>
    <w:rsid w:val="009913BD"/>
    <w:rsid w:val="00991B54"/>
    <w:rsid w:val="009943AA"/>
    <w:rsid w:val="00997885"/>
    <w:rsid w:val="009A05CF"/>
    <w:rsid w:val="009A0DD8"/>
    <w:rsid w:val="009A33B2"/>
    <w:rsid w:val="009A3841"/>
    <w:rsid w:val="009A4BDF"/>
    <w:rsid w:val="009A567E"/>
    <w:rsid w:val="009A65ED"/>
    <w:rsid w:val="009A6DED"/>
    <w:rsid w:val="009A73BB"/>
    <w:rsid w:val="009B35CA"/>
    <w:rsid w:val="009B4216"/>
    <w:rsid w:val="009B4D0F"/>
    <w:rsid w:val="009B6CBD"/>
    <w:rsid w:val="009B7BB2"/>
    <w:rsid w:val="009C12A5"/>
    <w:rsid w:val="009C4E30"/>
    <w:rsid w:val="009C6CCC"/>
    <w:rsid w:val="009C76F2"/>
    <w:rsid w:val="009D11BF"/>
    <w:rsid w:val="009D2E84"/>
    <w:rsid w:val="009E03FD"/>
    <w:rsid w:val="009E3A9C"/>
    <w:rsid w:val="009E7319"/>
    <w:rsid w:val="009F41B9"/>
    <w:rsid w:val="009F5AA9"/>
    <w:rsid w:val="009F73C6"/>
    <w:rsid w:val="009F776B"/>
    <w:rsid w:val="009F7CD5"/>
    <w:rsid w:val="00A00DA4"/>
    <w:rsid w:val="00A00DE3"/>
    <w:rsid w:val="00A01962"/>
    <w:rsid w:val="00A01B31"/>
    <w:rsid w:val="00A0417D"/>
    <w:rsid w:val="00A0471B"/>
    <w:rsid w:val="00A050AA"/>
    <w:rsid w:val="00A0519C"/>
    <w:rsid w:val="00A05FD5"/>
    <w:rsid w:val="00A06D61"/>
    <w:rsid w:val="00A11C71"/>
    <w:rsid w:val="00A12EE0"/>
    <w:rsid w:val="00A15AA3"/>
    <w:rsid w:val="00A1693C"/>
    <w:rsid w:val="00A20849"/>
    <w:rsid w:val="00A20BCD"/>
    <w:rsid w:val="00A242C7"/>
    <w:rsid w:val="00A26B38"/>
    <w:rsid w:val="00A31769"/>
    <w:rsid w:val="00A32559"/>
    <w:rsid w:val="00A336CF"/>
    <w:rsid w:val="00A33E5B"/>
    <w:rsid w:val="00A3638B"/>
    <w:rsid w:val="00A37C65"/>
    <w:rsid w:val="00A4075A"/>
    <w:rsid w:val="00A456C5"/>
    <w:rsid w:val="00A501DE"/>
    <w:rsid w:val="00A55F35"/>
    <w:rsid w:val="00A56F04"/>
    <w:rsid w:val="00A57C77"/>
    <w:rsid w:val="00A63699"/>
    <w:rsid w:val="00A63760"/>
    <w:rsid w:val="00A645EA"/>
    <w:rsid w:val="00A67085"/>
    <w:rsid w:val="00A7266C"/>
    <w:rsid w:val="00A73DE5"/>
    <w:rsid w:val="00A74200"/>
    <w:rsid w:val="00A75FB9"/>
    <w:rsid w:val="00A761E1"/>
    <w:rsid w:val="00A813E2"/>
    <w:rsid w:val="00A9013C"/>
    <w:rsid w:val="00A9285A"/>
    <w:rsid w:val="00A92EA2"/>
    <w:rsid w:val="00A93D6B"/>
    <w:rsid w:val="00A9611C"/>
    <w:rsid w:val="00A9714B"/>
    <w:rsid w:val="00AA43C0"/>
    <w:rsid w:val="00AA66BB"/>
    <w:rsid w:val="00AA6C97"/>
    <w:rsid w:val="00AA6E69"/>
    <w:rsid w:val="00AA7726"/>
    <w:rsid w:val="00AA7ED1"/>
    <w:rsid w:val="00AB023E"/>
    <w:rsid w:val="00AB46B0"/>
    <w:rsid w:val="00AB4EB5"/>
    <w:rsid w:val="00AB5CE5"/>
    <w:rsid w:val="00AC20C7"/>
    <w:rsid w:val="00AC223E"/>
    <w:rsid w:val="00AC6539"/>
    <w:rsid w:val="00AC7E06"/>
    <w:rsid w:val="00AD07A0"/>
    <w:rsid w:val="00AD3E97"/>
    <w:rsid w:val="00AD5B74"/>
    <w:rsid w:val="00AD6414"/>
    <w:rsid w:val="00AE1222"/>
    <w:rsid w:val="00AE157E"/>
    <w:rsid w:val="00AE2A73"/>
    <w:rsid w:val="00AE3C09"/>
    <w:rsid w:val="00AE3E39"/>
    <w:rsid w:val="00AE52F3"/>
    <w:rsid w:val="00AE7018"/>
    <w:rsid w:val="00AE770B"/>
    <w:rsid w:val="00AF079B"/>
    <w:rsid w:val="00AF6A03"/>
    <w:rsid w:val="00B016DA"/>
    <w:rsid w:val="00B0407B"/>
    <w:rsid w:val="00B0493A"/>
    <w:rsid w:val="00B06051"/>
    <w:rsid w:val="00B07DB7"/>
    <w:rsid w:val="00B10324"/>
    <w:rsid w:val="00B150D5"/>
    <w:rsid w:val="00B202A4"/>
    <w:rsid w:val="00B23D09"/>
    <w:rsid w:val="00B24903"/>
    <w:rsid w:val="00B25459"/>
    <w:rsid w:val="00B27302"/>
    <w:rsid w:val="00B279A2"/>
    <w:rsid w:val="00B323E3"/>
    <w:rsid w:val="00B37827"/>
    <w:rsid w:val="00B4085E"/>
    <w:rsid w:val="00B40D7F"/>
    <w:rsid w:val="00B47423"/>
    <w:rsid w:val="00B504B6"/>
    <w:rsid w:val="00B506E1"/>
    <w:rsid w:val="00B548D8"/>
    <w:rsid w:val="00B5507B"/>
    <w:rsid w:val="00B57DA1"/>
    <w:rsid w:val="00B62A34"/>
    <w:rsid w:val="00B62AF1"/>
    <w:rsid w:val="00B62DC8"/>
    <w:rsid w:val="00B6480E"/>
    <w:rsid w:val="00B65568"/>
    <w:rsid w:val="00B65F55"/>
    <w:rsid w:val="00B660BB"/>
    <w:rsid w:val="00B66E31"/>
    <w:rsid w:val="00B671F7"/>
    <w:rsid w:val="00B71042"/>
    <w:rsid w:val="00B74292"/>
    <w:rsid w:val="00B7495C"/>
    <w:rsid w:val="00B830B4"/>
    <w:rsid w:val="00B83696"/>
    <w:rsid w:val="00B85A07"/>
    <w:rsid w:val="00B87F45"/>
    <w:rsid w:val="00B90476"/>
    <w:rsid w:val="00B91092"/>
    <w:rsid w:val="00B930BF"/>
    <w:rsid w:val="00B965BC"/>
    <w:rsid w:val="00B9681E"/>
    <w:rsid w:val="00B972A0"/>
    <w:rsid w:val="00BA0B9B"/>
    <w:rsid w:val="00BA18B9"/>
    <w:rsid w:val="00BA490B"/>
    <w:rsid w:val="00BA5B3D"/>
    <w:rsid w:val="00BA696D"/>
    <w:rsid w:val="00BA6D52"/>
    <w:rsid w:val="00BA7062"/>
    <w:rsid w:val="00BA7C4A"/>
    <w:rsid w:val="00BA7DB9"/>
    <w:rsid w:val="00BB245D"/>
    <w:rsid w:val="00BB3076"/>
    <w:rsid w:val="00BB3EF9"/>
    <w:rsid w:val="00BB5FD3"/>
    <w:rsid w:val="00BC1383"/>
    <w:rsid w:val="00BC151F"/>
    <w:rsid w:val="00BC2E80"/>
    <w:rsid w:val="00BC4691"/>
    <w:rsid w:val="00BC79AE"/>
    <w:rsid w:val="00BD06E8"/>
    <w:rsid w:val="00BD3E44"/>
    <w:rsid w:val="00BD6EF0"/>
    <w:rsid w:val="00BE07C0"/>
    <w:rsid w:val="00BE167F"/>
    <w:rsid w:val="00BE1E68"/>
    <w:rsid w:val="00BE32B3"/>
    <w:rsid w:val="00BE3A3B"/>
    <w:rsid w:val="00BE457E"/>
    <w:rsid w:val="00BF12AA"/>
    <w:rsid w:val="00BF2493"/>
    <w:rsid w:val="00BF5848"/>
    <w:rsid w:val="00BF5B2A"/>
    <w:rsid w:val="00BF6E1C"/>
    <w:rsid w:val="00C0074E"/>
    <w:rsid w:val="00C01527"/>
    <w:rsid w:val="00C02FBD"/>
    <w:rsid w:val="00C0459C"/>
    <w:rsid w:val="00C05449"/>
    <w:rsid w:val="00C05792"/>
    <w:rsid w:val="00C07611"/>
    <w:rsid w:val="00C1005C"/>
    <w:rsid w:val="00C10C56"/>
    <w:rsid w:val="00C11CAF"/>
    <w:rsid w:val="00C13E98"/>
    <w:rsid w:val="00C147D4"/>
    <w:rsid w:val="00C1632A"/>
    <w:rsid w:val="00C21526"/>
    <w:rsid w:val="00C219D7"/>
    <w:rsid w:val="00C224CC"/>
    <w:rsid w:val="00C224FA"/>
    <w:rsid w:val="00C22C85"/>
    <w:rsid w:val="00C23416"/>
    <w:rsid w:val="00C24F34"/>
    <w:rsid w:val="00C250E6"/>
    <w:rsid w:val="00C25261"/>
    <w:rsid w:val="00C25317"/>
    <w:rsid w:val="00C25555"/>
    <w:rsid w:val="00C269B7"/>
    <w:rsid w:val="00C27318"/>
    <w:rsid w:val="00C316DA"/>
    <w:rsid w:val="00C329D8"/>
    <w:rsid w:val="00C33C2D"/>
    <w:rsid w:val="00C36300"/>
    <w:rsid w:val="00C3630B"/>
    <w:rsid w:val="00C36F28"/>
    <w:rsid w:val="00C42488"/>
    <w:rsid w:val="00C434A8"/>
    <w:rsid w:val="00C44C09"/>
    <w:rsid w:val="00C45AC6"/>
    <w:rsid w:val="00C543A5"/>
    <w:rsid w:val="00C56EB0"/>
    <w:rsid w:val="00C6351E"/>
    <w:rsid w:val="00C63819"/>
    <w:rsid w:val="00C669E7"/>
    <w:rsid w:val="00C673F5"/>
    <w:rsid w:val="00C704C7"/>
    <w:rsid w:val="00C70A53"/>
    <w:rsid w:val="00C7217D"/>
    <w:rsid w:val="00C73AF8"/>
    <w:rsid w:val="00C74329"/>
    <w:rsid w:val="00C7683A"/>
    <w:rsid w:val="00C774E0"/>
    <w:rsid w:val="00C8020A"/>
    <w:rsid w:val="00C80631"/>
    <w:rsid w:val="00C80FEE"/>
    <w:rsid w:val="00C85E69"/>
    <w:rsid w:val="00C87F57"/>
    <w:rsid w:val="00C946B8"/>
    <w:rsid w:val="00C947BD"/>
    <w:rsid w:val="00CA165A"/>
    <w:rsid w:val="00CA22DB"/>
    <w:rsid w:val="00CA2D71"/>
    <w:rsid w:val="00CB1A8A"/>
    <w:rsid w:val="00CB2B8A"/>
    <w:rsid w:val="00CB4488"/>
    <w:rsid w:val="00CB4B25"/>
    <w:rsid w:val="00CB5758"/>
    <w:rsid w:val="00CC0783"/>
    <w:rsid w:val="00CC2AFA"/>
    <w:rsid w:val="00CC2F4F"/>
    <w:rsid w:val="00CC50BB"/>
    <w:rsid w:val="00CD59C7"/>
    <w:rsid w:val="00CD5E53"/>
    <w:rsid w:val="00CD7266"/>
    <w:rsid w:val="00CE07F9"/>
    <w:rsid w:val="00CE6886"/>
    <w:rsid w:val="00CF3916"/>
    <w:rsid w:val="00CF399C"/>
    <w:rsid w:val="00CF5802"/>
    <w:rsid w:val="00CF5B81"/>
    <w:rsid w:val="00CF5F11"/>
    <w:rsid w:val="00D0392B"/>
    <w:rsid w:val="00D113CB"/>
    <w:rsid w:val="00D20846"/>
    <w:rsid w:val="00D21CF5"/>
    <w:rsid w:val="00D24017"/>
    <w:rsid w:val="00D24646"/>
    <w:rsid w:val="00D26BE1"/>
    <w:rsid w:val="00D276CE"/>
    <w:rsid w:val="00D27742"/>
    <w:rsid w:val="00D27E3E"/>
    <w:rsid w:val="00D3074F"/>
    <w:rsid w:val="00D32052"/>
    <w:rsid w:val="00D34DCC"/>
    <w:rsid w:val="00D36D51"/>
    <w:rsid w:val="00D40487"/>
    <w:rsid w:val="00D44165"/>
    <w:rsid w:val="00D45C36"/>
    <w:rsid w:val="00D4774D"/>
    <w:rsid w:val="00D4791D"/>
    <w:rsid w:val="00D54E55"/>
    <w:rsid w:val="00D57B36"/>
    <w:rsid w:val="00D60539"/>
    <w:rsid w:val="00D616E9"/>
    <w:rsid w:val="00D61D9B"/>
    <w:rsid w:val="00D625DD"/>
    <w:rsid w:val="00D640A1"/>
    <w:rsid w:val="00D659B7"/>
    <w:rsid w:val="00D66F53"/>
    <w:rsid w:val="00D7141B"/>
    <w:rsid w:val="00D72255"/>
    <w:rsid w:val="00D749B2"/>
    <w:rsid w:val="00D74D0C"/>
    <w:rsid w:val="00D75646"/>
    <w:rsid w:val="00D77F64"/>
    <w:rsid w:val="00D82B78"/>
    <w:rsid w:val="00D8552D"/>
    <w:rsid w:val="00D86AEB"/>
    <w:rsid w:val="00D86F08"/>
    <w:rsid w:val="00D87898"/>
    <w:rsid w:val="00D87899"/>
    <w:rsid w:val="00D92BEC"/>
    <w:rsid w:val="00D92EFC"/>
    <w:rsid w:val="00D95DD0"/>
    <w:rsid w:val="00DA4C76"/>
    <w:rsid w:val="00DA55E1"/>
    <w:rsid w:val="00DB1343"/>
    <w:rsid w:val="00DB6D22"/>
    <w:rsid w:val="00DC1091"/>
    <w:rsid w:val="00DC2A51"/>
    <w:rsid w:val="00DC3C18"/>
    <w:rsid w:val="00DC3CFA"/>
    <w:rsid w:val="00DC4642"/>
    <w:rsid w:val="00DC5C8F"/>
    <w:rsid w:val="00DC77E7"/>
    <w:rsid w:val="00DD0810"/>
    <w:rsid w:val="00DD1138"/>
    <w:rsid w:val="00DD6380"/>
    <w:rsid w:val="00DD66A7"/>
    <w:rsid w:val="00DD6C7A"/>
    <w:rsid w:val="00DD7EE0"/>
    <w:rsid w:val="00DE42CE"/>
    <w:rsid w:val="00DE56F6"/>
    <w:rsid w:val="00DE5D1C"/>
    <w:rsid w:val="00DF1706"/>
    <w:rsid w:val="00DF2CFA"/>
    <w:rsid w:val="00DF32EB"/>
    <w:rsid w:val="00DF5853"/>
    <w:rsid w:val="00E02D03"/>
    <w:rsid w:val="00E03FBE"/>
    <w:rsid w:val="00E04B7C"/>
    <w:rsid w:val="00E1010E"/>
    <w:rsid w:val="00E1156F"/>
    <w:rsid w:val="00E12C79"/>
    <w:rsid w:val="00E1379B"/>
    <w:rsid w:val="00E14FE6"/>
    <w:rsid w:val="00E20F08"/>
    <w:rsid w:val="00E215D3"/>
    <w:rsid w:val="00E25054"/>
    <w:rsid w:val="00E26251"/>
    <w:rsid w:val="00E268AD"/>
    <w:rsid w:val="00E33371"/>
    <w:rsid w:val="00E3345F"/>
    <w:rsid w:val="00E33D35"/>
    <w:rsid w:val="00E34CA0"/>
    <w:rsid w:val="00E42968"/>
    <w:rsid w:val="00E43792"/>
    <w:rsid w:val="00E44D80"/>
    <w:rsid w:val="00E45518"/>
    <w:rsid w:val="00E47001"/>
    <w:rsid w:val="00E50C69"/>
    <w:rsid w:val="00E51641"/>
    <w:rsid w:val="00E54336"/>
    <w:rsid w:val="00E5490C"/>
    <w:rsid w:val="00E5529A"/>
    <w:rsid w:val="00E609C4"/>
    <w:rsid w:val="00E60A44"/>
    <w:rsid w:val="00E630EB"/>
    <w:rsid w:val="00E645F5"/>
    <w:rsid w:val="00E65644"/>
    <w:rsid w:val="00E66234"/>
    <w:rsid w:val="00E66F49"/>
    <w:rsid w:val="00E75760"/>
    <w:rsid w:val="00E76D64"/>
    <w:rsid w:val="00E80EEE"/>
    <w:rsid w:val="00E82929"/>
    <w:rsid w:val="00E83FF9"/>
    <w:rsid w:val="00E8457E"/>
    <w:rsid w:val="00E85C19"/>
    <w:rsid w:val="00E86087"/>
    <w:rsid w:val="00E90CD9"/>
    <w:rsid w:val="00E90FF3"/>
    <w:rsid w:val="00E927DE"/>
    <w:rsid w:val="00E929C2"/>
    <w:rsid w:val="00E92AA3"/>
    <w:rsid w:val="00E9484A"/>
    <w:rsid w:val="00E9659A"/>
    <w:rsid w:val="00EA0D18"/>
    <w:rsid w:val="00EA294E"/>
    <w:rsid w:val="00EA4EB9"/>
    <w:rsid w:val="00EA597F"/>
    <w:rsid w:val="00EB1DBB"/>
    <w:rsid w:val="00EB3F19"/>
    <w:rsid w:val="00EB4C5F"/>
    <w:rsid w:val="00EB5BF6"/>
    <w:rsid w:val="00EB7068"/>
    <w:rsid w:val="00EB7B3B"/>
    <w:rsid w:val="00EC0EBE"/>
    <w:rsid w:val="00EC2127"/>
    <w:rsid w:val="00EC791D"/>
    <w:rsid w:val="00ED18BB"/>
    <w:rsid w:val="00ED2FE4"/>
    <w:rsid w:val="00EE2C16"/>
    <w:rsid w:val="00EE3E2D"/>
    <w:rsid w:val="00EE740C"/>
    <w:rsid w:val="00EF04E6"/>
    <w:rsid w:val="00EF12AE"/>
    <w:rsid w:val="00EF16FF"/>
    <w:rsid w:val="00EF3ED8"/>
    <w:rsid w:val="00EF53B6"/>
    <w:rsid w:val="00F0042A"/>
    <w:rsid w:val="00F02722"/>
    <w:rsid w:val="00F02A60"/>
    <w:rsid w:val="00F02DC3"/>
    <w:rsid w:val="00F03038"/>
    <w:rsid w:val="00F04428"/>
    <w:rsid w:val="00F048D1"/>
    <w:rsid w:val="00F05FE6"/>
    <w:rsid w:val="00F13E35"/>
    <w:rsid w:val="00F14DDC"/>
    <w:rsid w:val="00F20E93"/>
    <w:rsid w:val="00F22453"/>
    <w:rsid w:val="00F235E0"/>
    <w:rsid w:val="00F23931"/>
    <w:rsid w:val="00F241DE"/>
    <w:rsid w:val="00F27ECF"/>
    <w:rsid w:val="00F30D8E"/>
    <w:rsid w:val="00F3111E"/>
    <w:rsid w:val="00F331E3"/>
    <w:rsid w:val="00F33F9A"/>
    <w:rsid w:val="00F42420"/>
    <w:rsid w:val="00F45B57"/>
    <w:rsid w:val="00F505CE"/>
    <w:rsid w:val="00F53894"/>
    <w:rsid w:val="00F53BCC"/>
    <w:rsid w:val="00F554DE"/>
    <w:rsid w:val="00F569A2"/>
    <w:rsid w:val="00F61916"/>
    <w:rsid w:val="00F61A9A"/>
    <w:rsid w:val="00F62ED9"/>
    <w:rsid w:val="00F635CA"/>
    <w:rsid w:val="00F6409A"/>
    <w:rsid w:val="00F641BF"/>
    <w:rsid w:val="00F67CD2"/>
    <w:rsid w:val="00F704C8"/>
    <w:rsid w:val="00F712F7"/>
    <w:rsid w:val="00F77F88"/>
    <w:rsid w:val="00F8201B"/>
    <w:rsid w:val="00F8262B"/>
    <w:rsid w:val="00F82D17"/>
    <w:rsid w:val="00F871B6"/>
    <w:rsid w:val="00F87A97"/>
    <w:rsid w:val="00F907D3"/>
    <w:rsid w:val="00F916DD"/>
    <w:rsid w:val="00F92D67"/>
    <w:rsid w:val="00F93F00"/>
    <w:rsid w:val="00F95917"/>
    <w:rsid w:val="00FA190B"/>
    <w:rsid w:val="00FA2F72"/>
    <w:rsid w:val="00FA6FDA"/>
    <w:rsid w:val="00FA7B94"/>
    <w:rsid w:val="00FB4707"/>
    <w:rsid w:val="00FC21CA"/>
    <w:rsid w:val="00FC2424"/>
    <w:rsid w:val="00FC3AC2"/>
    <w:rsid w:val="00FC4826"/>
    <w:rsid w:val="00FC655B"/>
    <w:rsid w:val="00FD2215"/>
    <w:rsid w:val="00FD29BD"/>
    <w:rsid w:val="00FD3FFC"/>
    <w:rsid w:val="00FE04FB"/>
    <w:rsid w:val="00FE0CC8"/>
    <w:rsid w:val="00FE12C1"/>
    <w:rsid w:val="00FE2B5D"/>
    <w:rsid w:val="00FE41AA"/>
    <w:rsid w:val="00FE4B9E"/>
    <w:rsid w:val="00FF01B8"/>
    <w:rsid w:val="00FF0D5D"/>
    <w:rsid w:val="00FF1855"/>
    <w:rsid w:val="00FF5DA8"/>
    <w:rsid w:val="00FF79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43"/>
    <w:pPr>
      <w:spacing w:after="200" w:line="276" w:lineRule="auto"/>
    </w:pPr>
    <w:rPr>
      <w:rFonts w:eastAsia="Times New Roman"/>
      <w:lang w:val="en-GB" w:eastAsia="en-GB"/>
    </w:rPr>
  </w:style>
  <w:style w:type="paragraph" w:styleId="Heading1">
    <w:name w:val="heading 1"/>
    <w:basedOn w:val="Normal"/>
    <w:link w:val="Heading1Char"/>
    <w:uiPriority w:val="99"/>
    <w:qFormat/>
    <w:rsid w:val="006B7A43"/>
    <w:pPr>
      <w:spacing w:before="100" w:beforeAutospacing="1" w:after="100" w:afterAutospacing="1" w:line="240" w:lineRule="auto"/>
      <w:outlineLvl w:val="0"/>
    </w:pPr>
    <w:rPr>
      <w:rFonts w:ascii="Times New Roman" w:eastAsia="Calibri" w:hAnsi="Times New Roman"/>
      <w:b/>
      <w:kern w:val="36"/>
      <w:sz w:val="48"/>
      <w:szCs w:val="20"/>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A43"/>
    <w:rPr>
      <w:rFonts w:ascii="Times New Roman" w:hAnsi="Times New Roman" w:cs="Times New Roman"/>
      <w:b/>
      <w:kern w:val="36"/>
      <w:sz w:val="48"/>
      <w:lang w:eastAsia="en-GB"/>
    </w:rPr>
  </w:style>
  <w:style w:type="paragraph" w:styleId="ListParagraph">
    <w:name w:val="List Paragraph"/>
    <w:basedOn w:val="Normal"/>
    <w:uiPriority w:val="99"/>
    <w:qFormat/>
    <w:rsid w:val="006B7A43"/>
    <w:pPr>
      <w:ind w:left="720"/>
      <w:contextualSpacing/>
    </w:pPr>
  </w:style>
  <w:style w:type="paragraph" w:customStyle="1" w:styleId="Pa11">
    <w:name w:val="Pa11"/>
    <w:basedOn w:val="Normal"/>
    <w:next w:val="Normal"/>
    <w:uiPriority w:val="99"/>
    <w:rsid w:val="006B7A43"/>
    <w:pPr>
      <w:autoSpaceDE w:val="0"/>
      <w:autoSpaceDN w:val="0"/>
      <w:adjustRightInd w:val="0"/>
      <w:spacing w:after="0" w:line="171" w:lineRule="atLeast"/>
    </w:pPr>
    <w:rPr>
      <w:rFonts w:ascii="Frutiger LT 55 Roman" w:hAnsi="Frutiger LT 55 Roman"/>
      <w:sz w:val="24"/>
      <w:szCs w:val="24"/>
      <w:lang w:val="en-US"/>
    </w:rPr>
  </w:style>
  <w:style w:type="paragraph" w:styleId="NormalWeb">
    <w:name w:val="Normal (Web)"/>
    <w:basedOn w:val="Normal"/>
    <w:uiPriority w:val="99"/>
    <w:rsid w:val="006B7A43"/>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uiPriority w:val="99"/>
    <w:rsid w:val="006B7A43"/>
  </w:style>
  <w:style w:type="character" w:styleId="Strong">
    <w:name w:val="Strong"/>
    <w:basedOn w:val="DefaultParagraphFont"/>
    <w:uiPriority w:val="99"/>
    <w:qFormat/>
    <w:rsid w:val="006B7A43"/>
    <w:rPr>
      <w:rFonts w:cs="Times New Roman"/>
      <w:b/>
    </w:rPr>
  </w:style>
  <w:style w:type="character" w:styleId="Emphasis">
    <w:name w:val="Emphasis"/>
    <w:basedOn w:val="DefaultParagraphFont"/>
    <w:uiPriority w:val="99"/>
    <w:qFormat/>
    <w:rsid w:val="006B7A43"/>
    <w:rPr>
      <w:rFonts w:cs="Times New Roman"/>
      <w:i/>
    </w:rPr>
  </w:style>
  <w:style w:type="character" w:styleId="Hyperlink">
    <w:name w:val="Hyperlink"/>
    <w:basedOn w:val="DefaultParagraphFont"/>
    <w:uiPriority w:val="99"/>
    <w:rsid w:val="006B7A43"/>
    <w:rPr>
      <w:rFonts w:cs="Times New Roman"/>
      <w:color w:val="0000FF"/>
      <w:u w:val="single"/>
    </w:rPr>
  </w:style>
  <w:style w:type="character" w:customStyle="1" w:styleId="A1">
    <w:name w:val="A1"/>
    <w:uiPriority w:val="99"/>
    <w:rsid w:val="006B7A43"/>
    <w:rPr>
      <w:i/>
      <w:color w:val="000000"/>
      <w:sz w:val="22"/>
    </w:rPr>
  </w:style>
  <w:style w:type="paragraph" w:styleId="Header">
    <w:name w:val="header"/>
    <w:basedOn w:val="Normal"/>
    <w:link w:val="HeaderChar"/>
    <w:uiPriority w:val="99"/>
    <w:rsid w:val="00445A6E"/>
    <w:pPr>
      <w:tabs>
        <w:tab w:val="center" w:pos="4513"/>
        <w:tab w:val="right" w:pos="9026"/>
      </w:tabs>
      <w:spacing w:after="0" w:line="240" w:lineRule="auto"/>
    </w:pPr>
    <w:rPr>
      <w:sz w:val="20"/>
      <w:szCs w:val="20"/>
      <w:lang w:val="cs-CZ"/>
    </w:rPr>
  </w:style>
  <w:style w:type="character" w:customStyle="1" w:styleId="HeaderChar">
    <w:name w:val="Header Char"/>
    <w:basedOn w:val="DefaultParagraphFont"/>
    <w:link w:val="Header"/>
    <w:uiPriority w:val="99"/>
    <w:locked/>
    <w:rsid w:val="00445A6E"/>
    <w:rPr>
      <w:rFonts w:eastAsia="Times New Roman" w:cs="Times New Roman"/>
      <w:lang w:eastAsia="en-GB"/>
    </w:rPr>
  </w:style>
  <w:style w:type="paragraph" w:styleId="Footer">
    <w:name w:val="footer"/>
    <w:basedOn w:val="Normal"/>
    <w:link w:val="FooterChar"/>
    <w:uiPriority w:val="99"/>
    <w:rsid w:val="00445A6E"/>
    <w:pPr>
      <w:tabs>
        <w:tab w:val="center" w:pos="4513"/>
        <w:tab w:val="right" w:pos="9026"/>
      </w:tabs>
      <w:spacing w:after="0" w:line="240" w:lineRule="auto"/>
    </w:pPr>
    <w:rPr>
      <w:sz w:val="20"/>
      <w:szCs w:val="20"/>
      <w:lang w:val="cs-CZ"/>
    </w:rPr>
  </w:style>
  <w:style w:type="character" w:customStyle="1" w:styleId="FooterChar">
    <w:name w:val="Footer Char"/>
    <w:basedOn w:val="DefaultParagraphFont"/>
    <w:link w:val="Footer"/>
    <w:uiPriority w:val="99"/>
    <w:locked/>
    <w:rsid w:val="00445A6E"/>
    <w:rPr>
      <w:rFonts w:eastAsia="Times New Roman" w:cs="Times New Roman"/>
      <w:lang w:eastAsia="en-GB"/>
    </w:rPr>
  </w:style>
  <w:style w:type="paragraph" w:styleId="BalloonText">
    <w:name w:val="Balloon Text"/>
    <w:basedOn w:val="Normal"/>
    <w:link w:val="BalloonTextChar"/>
    <w:uiPriority w:val="99"/>
    <w:semiHidden/>
    <w:rsid w:val="0041174B"/>
    <w:pPr>
      <w:spacing w:after="0" w:line="240" w:lineRule="auto"/>
    </w:pPr>
    <w:rPr>
      <w:rFonts w:ascii="Tahoma" w:eastAsia="Calibri" w:hAnsi="Tahoma"/>
      <w:sz w:val="16"/>
      <w:szCs w:val="20"/>
      <w:lang w:val="cs-CZ" w:eastAsia="ko-KR"/>
    </w:rPr>
  </w:style>
  <w:style w:type="character" w:customStyle="1" w:styleId="BalloonTextChar">
    <w:name w:val="Balloon Text Char"/>
    <w:basedOn w:val="DefaultParagraphFont"/>
    <w:link w:val="BalloonText"/>
    <w:uiPriority w:val="99"/>
    <w:semiHidden/>
    <w:locked/>
    <w:rsid w:val="0041174B"/>
    <w:rPr>
      <w:rFonts w:ascii="Tahoma" w:hAnsi="Tahoma" w:cs="Times New Roman"/>
      <w:sz w:val="16"/>
    </w:rPr>
  </w:style>
  <w:style w:type="table" w:styleId="TableGrid">
    <w:name w:val="Table Grid"/>
    <w:basedOn w:val="TableNormal"/>
    <w:uiPriority w:val="99"/>
    <w:rsid w:val="00D26B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521EE"/>
    <w:rPr>
      <w:rFonts w:cs="Times New Roman"/>
      <w:sz w:val="16"/>
    </w:rPr>
  </w:style>
  <w:style w:type="paragraph" w:styleId="CommentText">
    <w:name w:val="annotation text"/>
    <w:basedOn w:val="Normal"/>
    <w:link w:val="CommentTextChar"/>
    <w:uiPriority w:val="99"/>
    <w:semiHidden/>
    <w:rsid w:val="004521EE"/>
    <w:rPr>
      <w:sz w:val="20"/>
      <w:szCs w:val="20"/>
    </w:rPr>
  </w:style>
  <w:style w:type="character" w:customStyle="1" w:styleId="CommentTextChar">
    <w:name w:val="Comment Text Char"/>
    <w:basedOn w:val="DefaultParagraphFont"/>
    <w:link w:val="CommentText"/>
    <w:uiPriority w:val="99"/>
    <w:semiHidden/>
    <w:locked/>
    <w:rsid w:val="00CF5F11"/>
    <w:rPr>
      <w:rFonts w:eastAsia="Times New Roman" w:cs="Times New Roman"/>
      <w:sz w:val="20"/>
      <w:lang w:val="en-GB" w:eastAsia="en-GB"/>
    </w:rPr>
  </w:style>
  <w:style w:type="paragraph" w:styleId="CommentSubject">
    <w:name w:val="annotation subject"/>
    <w:basedOn w:val="CommentText"/>
    <w:next w:val="CommentText"/>
    <w:link w:val="CommentSubjectChar"/>
    <w:uiPriority w:val="99"/>
    <w:semiHidden/>
    <w:rsid w:val="004521EE"/>
    <w:rPr>
      <w:b/>
    </w:rPr>
  </w:style>
  <w:style w:type="character" w:customStyle="1" w:styleId="CommentSubjectChar">
    <w:name w:val="Comment Subject Char"/>
    <w:basedOn w:val="CommentTextChar"/>
    <w:link w:val="CommentSubject"/>
    <w:uiPriority w:val="99"/>
    <w:semiHidden/>
    <w:locked/>
    <w:rsid w:val="00CF5F11"/>
    <w:rPr>
      <w:b/>
    </w:rPr>
  </w:style>
  <w:style w:type="paragraph" w:styleId="NoSpacing">
    <w:name w:val="No Spacing"/>
    <w:uiPriority w:val="99"/>
    <w:qFormat/>
    <w:rsid w:val="00AE52F3"/>
    <w:pPr>
      <w:suppressAutoHyphens/>
    </w:pPr>
    <w:rPr>
      <w:rFonts w:cs="Calibri"/>
      <w:lang w:eastAsia="ar-SA"/>
    </w:rPr>
  </w:style>
  <w:style w:type="paragraph" w:styleId="FootnoteText">
    <w:name w:val="footnote text"/>
    <w:basedOn w:val="Normal"/>
    <w:link w:val="FootnoteTextChar"/>
    <w:uiPriority w:val="99"/>
    <w:rsid w:val="0087005E"/>
    <w:pPr>
      <w:spacing w:after="0" w:line="240"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locked/>
    <w:rsid w:val="0087005E"/>
    <w:rPr>
      <w:rFonts w:cs="Times New Roman"/>
      <w:sz w:val="20"/>
      <w:lang w:val="en-US" w:eastAsia="en-US"/>
    </w:rPr>
  </w:style>
  <w:style w:type="character" w:styleId="FootnoteReference">
    <w:name w:val="footnote reference"/>
    <w:basedOn w:val="DefaultParagraphFont"/>
    <w:uiPriority w:val="99"/>
    <w:rsid w:val="0087005E"/>
    <w:rPr>
      <w:rFonts w:cs="Times New Roman"/>
      <w:vertAlign w:val="superscript"/>
    </w:rPr>
  </w:style>
  <w:style w:type="character" w:customStyle="1" w:styleId="FootnoteCharacters">
    <w:name w:val="Footnote Characters"/>
    <w:uiPriority w:val="99"/>
    <w:rsid w:val="009C6CCC"/>
  </w:style>
  <w:style w:type="character" w:customStyle="1" w:styleId="Znakypropoznmkupodarou">
    <w:name w:val="Znaky pro poznámku pod čarou"/>
    <w:uiPriority w:val="99"/>
    <w:rsid w:val="009C6CCC"/>
    <w:rPr>
      <w:vertAlign w:val="superscript"/>
    </w:rPr>
  </w:style>
  <w:style w:type="character" w:customStyle="1" w:styleId="Znakapoznpodarou2">
    <w:name w:val="Značka pozn. pod čarou2"/>
    <w:uiPriority w:val="99"/>
    <w:rsid w:val="009C6CCC"/>
    <w:rPr>
      <w:vertAlign w:val="superscript"/>
    </w:rPr>
  </w:style>
  <w:style w:type="character" w:customStyle="1" w:styleId="Znakapoznpodarou3">
    <w:name w:val="Značka pozn. pod čarou3"/>
    <w:uiPriority w:val="99"/>
    <w:rsid w:val="009C6CCC"/>
    <w:rPr>
      <w:vertAlign w:val="superscript"/>
    </w:rPr>
  </w:style>
  <w:style w:type="paragraph" w:styleId="BodyText">
    <w:name w:val="Body Text"/>
    <w:basedOn w:val="Normal"/>
    <w:link w:val="BodyTextChar"/>
    <w:uiPriority w:val="99"/>
    <w:rsid w:val="009C6CCC"/>
    <w:pPr>
      <w:suppressAutoHyphens/>
      <w:spacing w:after="120" w:line="100" w:lineRule="atLeast"/>
    </w:pPr>
    <w:rPr>
      <w:rFonts w:ascii="Times New Roman" w:eastAsia="Calibri" w:hAnsi="Times New Roman"/>
      <w:kern w:val="1"/>
      <w:sz w:val="24"/>
      <w:szCs w:val="20"/>
      <w:lang w:val="en-US" w:eastAsia="ar-SA"/>
    </w:rPr>
  </w:style>
  <w:style w:type="character" w:customStyle="1" w:styleId="BodyTextChar">
    <w:name w:val="Body Text Char"/>
    <w:basedOn w:val="DefaultParagraphFont"/>
    <w:link w:val="BodyText"/>
    <w:uiPriority w:val="99"/>
    <w:locked/>
    <w:rsid w:val="009C6CCC"/>
    <w:rPr>
      <w:rFonts w:ascii="Times New Roman" w:hAnsi="Times New Roman" w:cs="Times New Roman"/>
      <w:kern w:val="1"/>
      <w:sz w:val="24"/>
      <w:lang w:val="en-US" w:eastAsia="ar-SA" w:bidi="ar-SA"/>
    </w:rPr>
  </w:style>
  <w:style w:type="character" w:customStyle="1" w:styleId="hps">
    <w:name w:val="hps"/>
    <w:uiPriority w:val="99"/>
    <w:rsid w:val="000E4E50"/>
  </w:style>
  <w:style w:type="character" w:customStyle="1" w:styleId="shorttext">
    <w:name w:val="short_text"/>
    <w:uiPriority w:val="99"/>
    <w:rsid w:val="000E4E50"/>
  </w:style>
  <w:style w:type="character" w:styleId="FollowedHyperlink">
    <w:name w:val="FollowedHyperlink"/>
    <w:basedOn w:val="DefaultParagraphFont"/>
    <w:uiPriority w:val="99"/>
    <w:rsid w:val="006F17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60360714">
      <w:marLeft w:val="0"/>
      <w:marRight w:val="0"/>
      <w:marTop w:val="0"/>
      <w:marBottom w:val="0"/>
      <w:divBdr>
        <w:top w:val="none" w:sz="0" w:space="0" w:color="auto"/>
        <w:left w:val="none" w:sz="0" w:space="0" w:color="auto"/>
        <w:bottom w:val="none" w:sz="0" w:space="0" w:color="auto"/>
        <w:right w:val="none" w:sz="0" w:space="0" w:color="auto"/>
      </w:divBdr>
      <w:divsChild>
        <w:div w:id="860360721">
          <w:marLeft w:val="0"/>
          <w:marRight w:val="0"/>
          <w:marTop w:val="0"/>
          <w:marBottom w:val="0"/>
          <w:divBdr>
            <w:top w:val="none" w:sz="0" w:space="0" w:color="auto"/>
            <w:left w:val="none" w:sz="0" w:space="0" w:color="auto"/>
            <w:bottom w:val="none" w:sz="0" w:space="0" w:color="auto"/>
            <w:right w:val="none" w:sz="0" w:space="0" w:color="auto"/>
          </w:divBdr>
        </w:div>
        <w:div w:id="860360723">
          <w:marLeft w:val="0"/>
          <w:marRight w:val="0"/>
          <w:marTop w:val="0"/>
          <w:marBottom w:val="0"/>
          <w:divBdr>
            <w:top w:val="none" w:sz="0" w:space="0" w:color="auto"/>
            <w:left w:val="none" w:sz="0" w:space="0" w:color="auto"/>
            <w:bottom w:val="none" w:sz="0" w:space="0" w:color="auto"/>
            <w:right w:val="none" w:sz="0" w:space="0" w:color="auto"/>
          </w:divBdr>
        </w:div>
        <w:div w:id="860360725">
          <w:marLeft w:val="0"/>
          <w:marRight w:val="0"/>
          <w:marTop w:val="0"/>
          <w:marBottom w:val="0"/>
          <w:divBdr>
            <w:top w:val="none" w:sz="0" w:space="0" w:color="auto"/>
            <w:left w:val="none" w:sz="0" w:space="0" w:color="auto"/>
            <w:bottom w:val="none" w:sz="0" w:space="0" w:color="auto"/>
            <w:right w:val="none" w:sz="0" w:space="0" w:color="auto"/>
          </w:divBdr>
        </w:div>
        <w:div w:id="860360736">
          <w:marLeft w:val="0"/>
          <w:marRight w:val="0"/>
          <w:marTop w:val="0"/>
          <w:marBottom w:val="0"/>
          <w:divBdr>
            <w:top w:val="none" w:sz="0" w:space="0" w:color="auto"/>
            <w:left w:val="none" w:sz="0" w:space="0" w:color="auto"/>
            <w:bottom w:val="none" w:sz="0" w:space="0" w:color="auto"/>
            <w:right w:val="none" w:sz="0" w:space="0" w:color="auto"/>
          </w:divBdr>
        </w:div>
        <w:div w:id="860360745">
          <w:marLeft w:val="0"/>
          <w:marRight w:val="0"/>
          <w:marTop w:val="0"/>
          <w:marBottom w:val="0"/>
          <w:divBdr>
            <w:top w:val="none" w:sz="0" w:space="0" w:color="auto"/>
            <w:left w:val="none" w:sz="0" w:space="0" w:color="auto"/>
            <w:bottom w:val="none" w:sz="0" w:space="0" w:color="auto"/>
            <w:right w:val="none" w:sz="0" w:space="0" w:color="auto"/>
          </w:divBdr>
        </w:div>
        <w:div w:id="860360746">
          <w:marLeft w:val="0"/>
          <w:marRight w:val="0"/>
          <w:marTop w:val="0"/>
          <w:marBottom w:val="0"/>
          <w:divBdr>
            <w:top w:val="none" w:sz="0" w:space="0" w:color="auto"/>
            <w:left w:val="none" w:sz="0" w:space="0" w:color="auto"/>
            <w:bottom w:val="none" w:sz="0" w:space="0" w:color="auto"/>
            <w:right w:val="none" w:sz="0" w:space="0" w:color="auto"/>
          </w:divBdr>
        </w:div>
        <w:div w:id="860360752">
          <w:marLeft w:val="0"/>
          <w:marRight w:val="0"/>
          <w:marTop w:val="0"/>
          <w:marBottom w:val="0"/>
          <w:divBdr>
            <w:top w:val="none" w:sz="0" w:space="0" w:color="auto"/>
            <w:left w:val="none" w:sz="0" w:space="0" w:color="auto"/>
            <w:bottom w:val="none" w:sz="0" w:space="0" w:color="auto"/>
            <w:right w:val="none" w:sz="0" w:space="0" w:color="auto"/>
          </w:divBdr>
        </w:div>
        <w:div w:id="860360761">
          <w:marLeft w:val="0"/>
          <w:marRight w:val="0"/>
          <w:marTop w:val="0"/>
          <w:marBottom w:val="0"/>
          <w:divBdr>
            <w:top w:val="none" w:sz="0" w:space="0" w:color="auto"/>
            <w:left w:val="none" w:sz="0" w:space="0" w:color="auto"/>
            <w:bottom w:val="none" w:sz="0" w:space="0" w:color="auto"/>
            <w:right w:val="none" w:sz="0" w:space="0" w:color="auto"/>
          </w:divBdr>
        </w:div>
        <w:div w:id="860360763">
          <w:marLeft w:val="0"/>
          <w:marRight w:val="0"/>
          <w:marTop w:val="0"/>
          <w:marBottom w:val="0"/>
          <w:divBdr>
            <w:top w:val="none" w:sz="0" w:space="0" w:color="auto"/>
            <w:left w:val="none" w:sz="0" w:space="0" w:color="auto"/>
            <w:bottom w:val="none" w:sz="0" w:space="0" w:color="auto"/>
            <w:right w:val="none" w:sz="0" w:space="0" w:color="auto"/>
          </w:divBdr>
        </w:div>
        <w:div w:id="860360771">
          <w:marLeft w:val="0"/>
          <w:marRight w:val="0"/>
          <w:marTop w:val="0"/>
          <w:marBottom w:val="0"/>
          <w:divBdr>
            <w:top w:val="none" w:sz="0" w:space="0" w:color="auto"/>
            <w:left w:val="none" w:sz="0" w:space="0" w:color="auto"/>
            <w:bottom w:val="none" w:sz="0" w:space="0" w:color="auto"/>
            <w:right w:val="none" w:sz="0" w:space="0" w:color="auto"/>
          </w:divBdr>
        </w:div>
        <w:div w:id="860360795">
          <w:marLeft w:val="0"/>
          <w:marRight w:val="0"/>
          <w:marTop w:val="0"/>
          <w:marBottom w:val="0"/>
          <w:divBdr>
            <w:top w:val="none" w:sz="0" w:space="0" w:color="auto"/>
            <w:left w:val="none" w:sz="0" w:space="0" w:color="auto"/>
            <w:bottom w:val="none" w:sz="0" w:space="0" w:color="auto"/>
            <w:right w:val="none" w:sz="0" w:space="0" w:color="auto"/>
          </w:divBdr>
        </w:div>
        <w:div w:id="860360804">
          <w:marLeft w:val="0"/>
          <w:marRight w:val="0"/>
          <w:marTop w:val="0"/>
          <w:marBottom w:val="0"/>
          <w:divBdr>
            <w:top w:val="none" w:sz="0" w:space="0" w:color="auto"/>
            <w:left w:val="none" w:sz="0" w:space="0" w:color="auto"/>
            <w:bottom w:val="none" w:sz="0" w:space="0" w:color="auto"/>
            <w:right w:val="none" w:sz="0" w:space="0" w:color="auto"/>
          </w:divBdr>
        </w:div>
        <w:div w:id="860360806">
          <w:marLeft w:val="0"/>
          <w:marRight w:val="0"/>
          <w:marTop w:val="0"/>
          <w:marBottom w:val="0"/>
          <w:divBdr>
            <w:top w:val="none" w:sz="0" w:space="0" w:color="auto"/>
            <w:left w:val="none" w:sz="0" w:space="0" w:color="auto"/>
            <w:bottom w:val="none" w:sz="0" w:space="0" w:color="auto"/>
            <w:right w:val="none" w:sz="0" w:space="0" w:color="auto"/>
          </w:divBdr>
        </w:div>
        <w:div w:id="860360815">
          <w:marLeft w:val="0"/>
          <w:marRight w:val="0"/>
          <w:marTop w:val="0"/>
          <w:marBottom w:val="0"/>
          <w:divBdr>
            <w:top w:val="none" w:sz="0" w:space="0" w:color="auto"/>
            <w:left w:val="none" w:sz="0" w:space="0" w:color="auto"/>
            <w:bottom w:val="none" w:sz="0" w:space="0" w:color="auto"/>
            <w:right w:val="none" w:sz="0" w:space="0" w:color="auto"/>
          </w:divBdr>
        </w:div>
        <w:div w:id="860360829">
          <w:marLeft w:val="0"/>
          <w:marRight w:val="0"/>
          <w:marTop w:val="0"/>
          <w:marBottom w:val="0"/>
          <w:divBdr>
            <w:top w:val="none" w:sz="0" w:space="0" w:color="auto"/>
            <w:left w:val="none" w:sz="0" w:space="0" w:color="auto"/>
            <w:bottom w:val="none" w:sz="0" w:space="0" w:color="auto"/>
            <w:right w:val="none" w:sz="0" w:space="0" w:color="auto"/>
          </w:divBdr>
        </w:div>
        <w:div w:id="860360839">
          <w:marLeft w:val="0"/>
          <w:marRight w:val="0"/>
          <w:marTop w:val="0"/>
          <w:marBottom w:val="0"/>
          <w:divBdr>
            <w:top w:val="none" w:sz="0" w:space="0" w:color="auto"/>
            <w:left w:val="none" w:sz="0" w:space="0" w:color="auto"/>
            <w:bottom w:val="none" w:sz="0" w:space="0" w:color="auto"/>
            <w:right w:val="none" w:sz="0" w:space="0" w:color="auto"/>
          </w:divBdr>
        </w:div>
        <w:div w:id="860360843">
          <w:marLeft w:val="0"/>
          <w:marRight w:val="0"/>
          <w:marTop w:val="0"/>
          <w:marBottom w:val="0"/>
          <w:divBdr>
            <w:top w:val="none" w:sz="0" w:space="0" w:color="auto"/>
            <w:left w:val="none" w:sz="0" w:space="0" w:color="auto"/>
            <w:bottom w:val="none" w:sz="0" w:space="0" w:color="auto"/>
            <w:right w:val="none" w:sz="0" w:space="0" w:color="auto"/>
          </w:divBdr>
        </w:div>
      </w:divsChild>
    </w:div>
    <w:div w:id="860360716">
      <w:marLeft w:val="0"/>
      <w:marRight w:val="0"/>
      <w:marTop w:val="0"/>
      <w:marBottom w:val="0"/>
      <w:divBdr>
        <w:top w:val="none" w:sz="0" w:space="0" w:color="auto"/>
        <w:left w:val="none" w:sz="0" w:space="0" w:color="auto"/>
        <w:bottom w:val="none" w:sz="0" w:space="0" w:color="auto"/>
        <w:right w:val="none" w:sz="0" w:space="0" w:color="auto"/>
      </w:divBdr>
    </w:div>
    <w:div w:id="860360732">
      <w:marLeft w:val="0"/>
      <w:marRight w:val="0"/>
      <w:marTop w:val="0"/>
      <w:marBottom w:val="0"/>
      <w:divBdr>
        <w:top w:val="none" w:sz="0" w:space="0" w:color="auto"/>
        <w:left w:val="none" w:sz="0" w:space="0" w:color="auto"/>
        <w:bottom w:val="none" w:sz="0" w:space="0" w:color="auto"/>
        <w:right w:val="none" w:sz="0" w:space="0" w:color="auto"/>
      </w:divBdr>
      <w:divsChild>
        <w:div w:id="860360729">
          <w:marLeft w:val="0"/>
          <w:marRight w:val="0"/>
          <w:marTop w:val="0"/>
          <w:marBottom w:val="0"/>
          <w:divBdr>
            <w:top w:val="none" w:sz="0" w:space="0" w:color="auto"/>
            <w:left w:val="none" w:sz="0" w:space="0" w:color="auto"/>
            <w:bottom w:val="none" w:sz="0" w:space="0" w:color="auto"/>
            <w:right w:val="none" w:sz="0" w:space="0" w:color="auto"/>
          </w:divBdr>
        </w:div>
        <w:div w:id="860360733">
          <w:marLeft w:val="0"/>
          <w:marRight w:val="0"/>
          <w:marTop w:val="0"/>
          <w:marBottom w:val="0"/>
          <w:divBdr>
            <w:top w:val="none" w:sz="0" w:space="0" w:color="auto"/>
            <w:left w:val="none" w:sz="0" w:space="0" w:color="auto"/>
            <w:bottom w:val="none" w:sz="0" w:space="0" w:color="auto"/>
            <w:right w:val="none" w:sz="0" w:space="0" w:color="auto"/>
          </w:divBdr>
        </w:div>
        <w:div w:id="860360735">
          <w:marLeft w:val="0"/>
          <w:marRight w:val="0"/>
          <w:marTop w:val="0"/>
          <w:marBottom w:val="0"/>
          <w:divBdr>
            <w:top w:val="none" w:sz="0" w:space="0" w:color="auto"/>
            <w:left w:val="none" w:sz="0" w:space="0" w:color="auto"/>
            <w:bottom w:val="none" w:sz="0" w:space="0" w:color="auto"/>
            <w:right w:val="none" w:sz="0" w:space="0" w:color="auto"/>
          </w:divBdr>
        </w:div>
        <w:div w:id="860360742">
          <w:marLeft w:val="0"/>
          <w:marRight w:val="0"/>
          <w:marTop w:val="0"/>
          <w:marBottom w:val="0"/>
          <w:divBdr>
            <w:top w:val="none" w:sz="0" w:space="0" w:color="auto"/>
            <w:left w:val="none" w:sz="0" w:space="0" w:color="auto"/>
            <w:bottom w:val="none" w:sz="0" w:space="0" w:color="auto"/>
            <w:right w:val="none" w:sz="0" w:space="0" w:color="auto"/>
          </w:divBdr>
        </w:div>
        <w:div w:id="860360743">
          <w:marLeft w:val="0"/>
          <w:marRight w:val="0"/>
          <w:marTop w:val="0"/>
          <w:marBottom w:val="0"/>
          <w:divBdr>
            <w:top w:val="none" w:sz="0" w:space="0" w:color="auto"/>
            <w:left w:val="none" w:sz="0" w:space="0" w:color="auto"/>
            <w:bottom w:val="none" w:sz="0" w:space="0" w:color="auto"/>
            <w:right w:val="none" w:sz="0" w:space="0" w:color="auto"/>
          </w:divBdr>
        </w:div>
        <w:div w:id="860360750">
          <w:marLeft w:val="0"/>
          <w:marRight w:val="0"/>
          <w:marTop w:val="0"/>
          <w:marBottom w:val="0"/>
          <w:divBdr>
            <w:top w:val="none" w:sz="0" w:space="0" w:color="auto"/>
            <w:left w:val="none" w:sz="0" w:space="0" w:color="auto"/>
            <w:bottom w:val="none" w:sz="0" w:space="0" w:color="auto"/>
            <w:right w:val="none" w:sz="0" w:space="0" w:color="auto"/>
          </w:divBdr>
        </w:div>
        <w:div w:id="860360753">
          <w:marLeft w:val="0"/>
          <w:marRight w:val="0"/>
          <w:marTop w:val="0"/>
          <w:marBottom w:val="0"/>
          <w:divBdr>
            <w:top w:val="none" w:sz="0" w:space="0" w:color="auto"/>
            <w:left w:val="none" w:sz="0" w:space="0" w:color="auto"/>
            <w:bottom w:val="none" w:sz="0" w:space="0" w:color="auto"/>
            <w:right w:val="none" w:sz="0" w:space="0" w:color="auto"/>
          </w:divBdr>
        </w:div>
        <w:div w:id="860360755">
          <w:marLeft w:val="0"/>
          <w:marRight w:val="0"/>
          <w:marTop w:val="0"/>
          <w:marBottom w:val="0"/>
          <w:divBdr>
            <w:top w:val="none" w:sz="0" w:space="0" w:color="auto"/>
            <w:left w:val="none" w:sz="0" w:space="0" w:color="auto"/>
            <w:bottom w:val="none" w:sz="0" w:space="0" w:color="auto"/>
            <w:right w:val="none" w:sz="0" w:space="0" w:color="auto"/>
          </w:divBdr>
        </w:div>
        <w:div w:id="860360757">
          <w:marLeft w:val="0"/>
          <w:marRight w:val="0"/>
          <w:marTop w:val="0"/>
          <w:marBottom w:val="0"/>
          <w:divBdr>
            <w:top w:val="none" w:sz="0" w:space="0" w:color="auto"/>
            <w:left w:val="none" w:sz="0" w:space="0" w:color="auto"/>
            <w:bottom w:val="none" w:sz="0" w:space="0" w:color="auto"/>
            <w:right w:val="none" w:sz="0" w:space="0" w:color="auto"/>
          </w:divBdr>
        </w:div>
        <w:div w:id="860360758">
          <w:marLeft w:val="0"/>
          <w:marRight w:val="0"/>
          <w:marTop w:val="0"/>
          <w:marBottom w:val="0"/>
          <w:divBdr>
            <w:top w:val="none" w:sz="0" w:space="0" w:color="auto"/>
            <w:left w:val="none" w:sz="0" w:space="0" w:color="auto"/>
            <w:bottom w:val="none" w:sz="0" w:space="0" w:color="auto"/>
            <w:right w:val="none" w:sz="0" w:space="0" w:color="auto"/>
          </w:divBdr>
        </w:div>
        <w:div w:id="860360762">
          <w:marLeft w:val="0"/>
          <w:marRight w:val="0"/>
          <w:marTop w:val="0"/>
          <w:marBottom w:val="0"/>
          <w:divBdr>
            <w:top w:val="none" w:sz="0" w:space="0" w:color="auto"/>
            <w:left w:val="none" w:sz="0" w:space="0" w:color="auto"/>
            <w:bottom w:val="none" w:sz="0" w:space="0" w:color="auto"/>
            <w:right w:val="none" w:sz="0" w:space="0" w:color="auto"/>
          </w:divBdr>
        </w:div>
        <w:div w:id="860360765">
          <w:marLeft w:val="0"/>
          <w:marRight w:val="0"/>
          <w:marTop w:val="0"/>
          <w:marBottom w:val="0"/>
          <w:divBdr>
            <w:top w:val="none" w:sz="0" w:space="0" w:color="auto"/>
            <w:left w:val="none" w:sz="0" w:space="0" w:color="auto"/>
            <w:bottom w:val="none" w:sz="0" w:space="0" w:color="auto"/>
            <w:right w:val="none" w:sz="0" w:space="0" w:color="auto"/>
          </w:divBdr>
        </w:div>
        <w:div w:id="860360767">
          <w:marLeft w:val="0"/>
          <w:marRight w:val="0"/>
          <w:marTop w:val="0"/>
          <w:marBottom w:val="0"/>
          <w:divBdr>
            <w:top w:val="none" w:sz="0" w:space="0" w:color="auto"/>
            <w:left w:val="none" w:sz="0" w:space="0" w:color="auto"/>
            <w:bottom w:val="none" w:sz="0" w:space="0" w:color="auto"/>
            <w:right w:val="none" w:sz="0" w:space="0" w:color="auto"/>
          </w:divBdr>
        </w:div>
        <w:div w:id="860360796">
          <w:marLeft w:val="0"/>
          <w:marRight w:val="0"/>
          <w:marTop w:val="0"/>
          <w:marBottom w:val="0"/>
          <w:divBdr>
            <w:top w:val="none" w:sz="0" w:space="0" w:color="auto"/>
            <w:left w:val="none" w:sz="0" w:space="0" w:color="auto"/>
            <w:bottom w:val="none" w:sz="0" w:space="0" w:color="auto"/>
            <w:right w:val="none" w:sz="0" w:space="0" w:color="auto"/>
          </w:divBdr>
        </w:div>
        <w:div w:id="860360798">
          <w:marLeft w:val="0"/>
          <w:marRight w:val="0"/>
          <w:marTop w:val="0"/>
          <w:marBottom w:val="0"/>
          <w:divBdr>
            <w:top w:val="none" w:sz="0" w:space="0" w:color="auto"/>
            <w:left w:val="none" w:sz="0" w:space="0" w:color="auto"/>
            <w:bottom w:val="none" w:sz="0" w:space="0" w:color="auto"/>
            <w:right w:val="none" w:sz="0" w:space="0" w:color="auto"/>
          </w:divBdr>
        </w:div>
        <w:div w:id="860360801">
          <w:marLeft w:val="0"/>
          <w:marRight w:val="0"/>
          <w:marTop w:val="0"/>
          <w:marBottom w:val="0"/>
          <w:divBdr>
            <w:top w:val="none" w:sz="0" w:space="0" w:color="auto"/>
            <w:left w:val="none" w:sz="0" w:space="0" w:color="auto"/>
            <w:bottom w:val="none" w:sz="0" w:space="0" w:color="auto"/>
            <w:right w:val="none" w:sz="0" w:space="0" w:color="auto"/>
          </w:divBdr>
        </w:div>
        <w:div w:id="860360803">
          <w:marLeft w:val="0"/>
          <w:marRight w:val="0"/>
          <w:marTop w:val="0"/>
          <w:marBottom w:val="0"/>
          <w:divBdr>
            <w:top w:val="none" w:sz="0" w:space="0" w:color="auto"/>
            <w:left w:val="none" w:sz="0" w:space="0" w:color="auto"/>
            <w:bottom w:val="none" w:sz="0" w:space="0" w:color="auto"/>
            <w:right w:val="none" w:sz="0" w:space="0" w:color="auto"/>
          </w:divBdr>
        </w:div>
        <w:div w:id="860360807">
          <w:marLeft w:val="0"/>
          <w:marRight w:val="0"/>
          <w:marTop w:val="0"/>
          <w:marBottom w:val="0"/>
          <w:divBdr>
            <w:top w:val="none" w:sz="0" w:space="0" w:color="auto"/>
            <w:left w:val="none" w:sz="0" w:space="0" w:color="auto"/>
            <w:bottom w:val="none" w:sz="0" w:space="0" w:color="auto"/>
            <w:right w:val="none" w:sz="0" w:space="0" w:color="auto"/>
          </w:divBdr>
        </w:div>
        <w:div w:id="860360809">
          <w:marLeft w:val="0"/>
          <w:marRight w:val="0"/>
          <w:marTop w:val="0"/>
          <w:marBottom w:val="0"/>
          <w:divBdr>
            <w:top w:val="none" w:sz="0" w:space="0" w:color="auto"/>
            <w:left w:val="none" w:sz="0" w:space="0" w:color="auto"/>
            <w:bottom w:val="none" w:sz="0" w:space="0" w:color="auto"/>
            <w:right w:val="none" w:sz="0" w:space="0" w:color="auto"/>
          </w:divBdr>
        </w:div>
        <w:div w:id="860360810">
          <w:marLeft w:val="0"/>
          <w:marRight w:val="0"/>
          <w:marTop w:val="0"/>
          <w:marBottom w:val="0"/>
          <w:divBdr>
            <w:top w:val="none" w:sz="0" w:space="0" w:color="auto"/>
            <w:left w:val="none" w:sz="0" w:space="0" w:color="auto"/>
            <w:bottom w:val="none" w:sz="0" w:space="0" w:color="auto"/>
            <w:right w:val="none" w:sz="0" w:space="0" w:color="auto"/>
          </w:divBdr>
        </w:div>
        <w:div w:id="860360811">
          <w:marLeft w:val="0"/>
          <w:marRight w:val="0"/>
          <w:marTop w:val="0"/>
          <w:marBottom w:val="0"/>
          <w:divBdr>
            <w:top w:val="none" w:sz="0" w:space="0" w:color="auto"/>
            <w:left w:val="none" w:sz="0" w:space="0" w:color="auto"/>
            <w:bottom w:val="none" w:sz="0" w:space="0" w:color="auto"/>
            <w:right w:val="none" w:sz="0" w:space="0" w:color="auto"/>
          </w:divBdr>
        </w:div>
        <w:div w:id="860360816">
          <w:marLeft w:val="0"/>
          <w:marRight w:val="0"/>
          <w:marTop w:val="0"/>
          <w:marBottom w:val="0"/>
          <w:divBdr>
            <w:top w:val="none" w:sz="0" w:space="0" w:color="auto"/>
            <w:left w:val="none" w:sz="0" w:space="0" w:color="auto"/>
            <w:bottom w:val="none" w:sz="0" w:space="0" w:color="auto"/>
            <w:right w:val="none" w:sz="0" w:space="0" w:color="auto"/>
          </w:divBdr>
        </w:div>
        <w:div w:id="860360817">
          <w:marLeft w:val="0"/>
          <w:marRight w:val="0"/>
          <w:marTop w:val="0"/>
          <w:marBottom w:val="0"/>
          <w:divBdr>
            <w:top w:val="none" w:sz="0" w:space="0" w:color="auto"/>
            <w:left w:val="none" w:sz="0" w:space="0" w:color="auto"/>
            <w:bottom w:val="none" w:sz="0" w:space="0" w:color="auto"/>
            <w:right w:val="none" w:sz="0" w:space="0" w:color="auto"/>
          </w:divBdr>
        </w:div>
        <w:div w:id="860360818">
          <w:marLeft w:val="0"/>
          <w:marRight w:val="0"/>
          <w:marTop w:val="0"/>
          <w:marBottom w:val="0"/>
          <w:divBdr>
            <w:top w:val="none" w:sz="0" w:space="0" w:color="auto"/>
            <w:left w:val="none" w:sz="0" w:space="0" w:color="auto"/>
            <w:bottom w:val="none" w:sz="0" w:space="0" w:color="auto"/>
            <w:right w:val="none" w:sz="0" w:space="0" w:color="auto"/>
          </w:divBdr>
        </w:div>
        <w:div w:id="860360822">
          <w:marLeft w:val="0"/>
          <w:marRight w:val="0"/>
          <w:marTop w:val="0"/>
          <w:marBottom w:val="0"/>
          <w:divBdr>
            <w:top w:val="none" w:sz="0" w:space="0" w:color="auto"/>
            <w:left w:val="none" w:sz="0" w:space="0" w:color="auto"/>
            <w:bottom w:val="none" w:sz="0" w:space="0" w:color="auto"/>
            <w:right w:val="none" w:sz="0" w:space="0" w:color="auto"/>
          </w:divBdr>
        </w:div>
        <w:div w:id="860360823">
          <w:marLeft w:val="0"/>
          <w:marRight w:val="0"/>
          <w:marTop w:val="0"/>
          <w:marBottom w:val="0"/>
          <w:divBdr>
            <w:top w:val="none" w:sz="0" w:space="0" w:color="auto"/>
            <w:left w:val="none" w:sz="0" w:space="0" w:color="auto"/>
            <w:bottom w:val="none" w:sz="0" w:space="0" w:color="auto"/>
            <w:right w:val="none" w:sz="0" w:space="0" w:color="auto"/>
          </w:divBdr>
        </w:div>
        <w:div w:id="860360835">
          <w:marLeft w:val="0"/>
          <w:marRight w:val="0"/>
          <w:marTop w:val="0"/>
          <w:marBottom w:val="0"/>
          <w:divBdr>
            <w:top w:val="none" w:sz="0" w:space="0" w:color="auto"/>
            <w:left w:val="none" w:sz="0" w:space="0" w:color="auto"/>
            <w:bottom w:val="none" w:sz="0" w:space="0" w:color="auto"/>
            <w:right w:val="none" w:sz="0" w:space="0" w:color="auto"/>
          </w:divBdr>
        </w:div>
        <w:div w:id="860360838">
          <w:marLeft w:val="0"/>
          <w:marRight w:val="0"/>
          <w:marTop w:val="0"/>
          <w:marBottom w:val="0"/>
          <w:divBdr>
            <w:top w:val="none" w:sz="0" w:space="0" w:color="auto"/>
            <w:left w:val="none" w:sz="0" w:space="0" w:color="auto"/>
            <w:bottom w:val="none" w:sz="0" w:space="0" w:color="auto"/>
            <w:right w:val="none" w:sz="0" w:space="0" w:color="auto"/>
          </w:divBdr>
        </w:div>
        <w:div w:id="860360841">
          <w:marLeft w:val="0"/>
          <w:marRight w:val="0"/>
          <w:marTop w:val="0"/>
          <w:marBottom w:val="0"/>
          <w:divBdr>
            <w:top w:val="none" w:sz="0" w:space="0" w:color="auto"/>
            <w:left w:val="none" w:sz="0" w:space="0" w:color="auto"/>
            <w:bottom w:val="none" w:sz="0" w:space="0" w:color="auto"/>
            <w:right w:val="none" w:sz="0" w:space="0" w:color="auto"/>
          </w:divBdr>
        </w:div>
        <w:div w:id="860360842">
          <w:marLeft w:val="0"/>
          <w:marRight w:val="0"/>
          <w:marTop w:val="0"/>
          <w:marBottom w:val="0"/>
          <w:divBdr>
            <w:top w:val="none" w:sz="0" w:space="0" w:color="auto"/>
            <w:left w:val="none" w:sz="0" w:space="0" w:color="auto"/>
            <w:bottom w:val="none" w:sz="0" w:space="0" w:color="auto"/>
            <w:right w:val="none" w:sz="0" w:space="0" w:color="auto"/>
          </w:divBdr>
        </w:div>
        <w:div w:id="860360847">
          <w:marLeft w:val="0"/>
          <w:marRight w:val="0"/>
          <w:marTop w:val="0"/>
          <w:marBottom w:val="0"/>
          <w:divBdr>
            <w:top w:val="none" w:sz="0" w:space="0" w:color="auto"/>
            <w:left w:val="none" w:sz="0" w:space="0" w:color="auto"/>
            <w:bottom w:val="none" w:sz="0" w:space="0" w:color="auto"/>
            <w:right w:val="none" w:sz="0" w:space="0" w:color="auto"/>
          </w:divBdr>
        </w:div>
        <w:div w:id="860360848">
          <w:marLeft w:val="0"/>
          <w:marRight w:val="0"/>
          <w:marTop w:val="0"/>
          <w:marBottom w:val="0"/>
          <w:divBdr>
            <w:top w:val="none" w:sz="0" w:space="0" w:color="auto"/>
            <w:left w:val="none" w:sz="0" w:space="0" w:color="auto"/>
            <w:bottom w:val="none" w:sz="0" w:space="0" w:color="auto"/>
            <w:right w:val="none" w:sz="0" w:space="0" w:color="auto"/>
          </w:divBdr>
        </w:div>
        <w:div w:id="860360849">
          <w:marLeft w:val="0"/>
          <w:marRight w:val="0"/>
          <w:marTop w:val="0"/>
          <w:marBottom w:val="0"/>
          <w:divBdr>
            <w:top w:val="none" w:sz="0" w:space="0" w:color="auto"/>
            <w:left w:val="none" w:sz="0" w:space="0" w:color="auto"/>
            <w:bottom w:val="none" w:sz="0" w:space="0" w:color="auto"/>
            <w:right w:val="none" w:sz="0" w:space="0" w:color="auto"/>
          </w:divBdr>
        </w:div>
      </w:divsChild>
    </w:div>
    <w:div w:id="860360739">
      <w:marLeft w:val="0"/>
      <w:marRight w:val="0"/>
      <w:marTop w:val="0"/>
      <w:marBottom w:val="0"/>
      <w:divBdr>
        <w:top w:val="none" w:sz="0" w:space="0" w:color="auto"/>
        <w:left w:val="none" w:sz="0" w:space="0" w:color="auto"/>
        <w:bottom w:val="none" w:sz="0" w:space="0" w:color="auto"/>
        <w:right w:val="none" w:sz="0" w:space="0" w:color="auto"/>
      </w:divBdr>
    </w:div>
    <w:div w:id="860360741">
      <w:marLeft w:val="0"/>
      <w:marRight w:val="0"/>
      <w:marTop w:val="0"/>
      <w:marBottom w:val="0"/>
      <w:divBdr>
        <w:top w:val="none" w:sz="0" w:space="0" w:color="auto"/>
        <w:left w:val="none" w:sz="0" w:space="0" w:color="auto"/>
        <w:bottom w:val="none" w:sz="0" w:space="0" w:color="auto"/>
        <w:right w:val="none" w:sz="0" w:space="0" w:color="auto"/>
      </w:divBdr>
    </w:div>
    <w:div w:id="860360756">
      <w:marLeft w:val="0"/>
      <w:marRight w:val="0"/>
      <w:marTop w:val="0"/>
      <w:marBottom w:val="0"/>
      <w:divBdr>
        <w:top w:val="none" w:sz="0" w:space="0" w:color="auto"/>
        <w:left w:val="none" w:sz="0" w:space="0" w:color="auto"/>
        <w:bottom w:val="none" w:sz="0" w:space="0" w:color="auto"/>
        <w:right w:val="none" w:sz="0" w:space="0" w:color="auto"/>
      </w:divBdr>
    </w:div>
    <w:div w:id="860360760">
      <w:marLeft w:val="0"/>
      <w:marRight w:val="0"/>
      <w:marTop w:val="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
        <w:div w:id="860360713">
          <w:marLeft w:val="0"/>
          <w:marRight w:val="0"/>
          <w:marTop w:val="0"/>
          <w:marBottom w:val="0"/>
          <w:divBdr>
            <w:top w:val="none" w:sz="0" w:space="0" w:color="auto"/>
            <w:left w:val="none" w:sz="0" w:space="0" w:color="auto"/>
            <w:bottom w:val="none" w:sz="0" w:space="0" w:color="auto"/>
            <w:right w:val="none" w:sz="0" w:space="0" w:color="auto"/>
          </w:divBdr>
        </w:div>
        <w:div w:id="860360715">
          <w:marLeft w:val="0"/>
          <w:marRight w:val="0"/>
          <w:marTop w:val="0"/>
          <w:marBottom w:val="0"/>
          <w:divBdr>
            <w:top w:val="none" w:sz="0" w:space="0" w:color="auto"/>
            <w:left w:val="none" w:sz="0" w:space="0" w:color="auto"/>
            <w:bottom w:val="none" w:sz="0" w:space="0" w:color="auto"/>
            <w:right w:val="none" w:sz="0" w:space="0" w:color="auto"/>
          </w:divBdr>
        </w:div>
        <w:div w:id="860360719">
          <w:marLeft w:val="0"/>
          <w:marRight w:val="0"/>
          <w:marTop w:val="0"/>
          <w:marBottom w:val="0"/>
          <w:divBdr>
            <w:top w:val="none" w:sz="0" w:space="0" w:color="auto"/>
            <w:left w:val="none" w:sz="0" w:space="0" w:color="auto"/>
            <w:bottom w:val="none" w:sz="0" w:space="0" w:color="auto"/>
            <w:right w:val="none" w:sz="0" w:space="0" w:color="auto"/>
          </w:divBdr>
        </w:div>
        <w:div w:id="860360720">
          <w:marLeft w:val="0"/>
          <w:marRight w:val="0"/>
          <w:marTop w:val="0"/>
          <w:marBottom w:val="0"/>
          <w:divBdr>
            <w:top w:val="none" w:sz="0" w:space="0" w:color="auto"/>
            <w:left w:val="none" w:sz="0" w:space="0" w:color="auto"/>
            <w:bottom w:val="none" w:sz="0" w:space="0" w:color="auto"/>
            <w:right w:val="none" w:sz="0" w:space="0" w:color="auto"/>
          </w:divBdr>
        </w:div>
        <w:div w:id="860360726">
          <w:marLeft w:val="0"/>
          <w:marRight w:val="0"/>
          <w:marTop w:val="0"/>
          <w:marBottom w:val="0"/>
          <w:divBdr>
            <w:top w:val="none" w:sz="0" w:space="0" w:color="auto"/>
            <w:left w:val="none" w:sz="0" w:space="0" w:color="auto"/>
            <w:bottom w:val="none" w:sz="0" w:space="0" w:color="auto"/>
            <w:right w:val="none" w:sz="0" w:space="0" w:color="auto"/>
          </w:divBdr>
        </w:div>
        <w:div w:id="860360734">
          <w:marLeft w:val="0"/>
          <w:marRight w:val="0"/>
          <w:marTop w:val="0"/>
          <w:marBottom w:val="0"/>
          <w:divBdr>
            <w:top w:val="none" w:sz="0" w:space="0" w:color="auto"/>
            <w:left w:val="none" w:sz="0" w:space="0" w:color="auto"/>
            <w:bottom w:val="none" w:sz="0" w:space="0" w:color="auto"/>
            <w:right w:val="none" w:sz="0" w:space="0" w:color="auto"/>
          </w:divBdr>
        </w:div>
        <w:div w:id="860360738">
          <w:marLeft w:val="0"/>
          <w:marRight w:val="0"/>
          <w:marTop w:val="0"/>
          <w:marBottom w:val="0"/>
          <w:divBdr>
            <w:top w:val="none" w:sz="0" w:space="0" w:color="auto"/>
            <w:left w:val="none" w:sz="0" w:space="0" w:color="auto"/>
            <w:bottom w:val="none" w:sz="0" w:space="0" w:color="auto"/>
            <w:right w:val="none" w:sz="0" w:space="0" w:color="auto"/>
          </w:divBdr>
        </w:div>
        <w:div w:id="860360740">
          <w:marLeft w:val="0"/>
          <w:marRight w:val="0"/>
          <w:marTop w:val="0"/>
          <w:marBottom w:val="0"/>
          <w:divBdr>
            <w:top w:val="none" w:sz="0" w:space="0" w:color="auto"/>
            <w:left w:val="none" w:sz="0" w:space="0" w:color="auto"/>
            <w:bottom w:val="none" w:sz="0" w:space="0" w:color="auto"/>
            <w:right w:val="none" w:sz="0" w:space="0" w:color="auto"/>
          </w:divBdr>
        </w:div>
        <w:div w:id="860360747">
          <w:marLeft w:val="0"/>
          <w:marRight w:val="0"/>
          <w:marTop w:val="0"/>
          <w:marBottom w:val="0"/>
          <w:divBdr>
            <w:top w:val="none" w:sz="0" w:space="0" w:color="auto"/>
            <w:left w:val="none" w:sz="0" w:space="0" w:color="auto"/>
            <w:bottom w:val="none" w:sz="0" w:space="0" w:color="auto"/>
            <w:right w:val="none" w:sz="0" w:space="0" w:color="auto"/>
          </w:divBdr>
        </w:div>
        <w:div w:id="860360749">
          <w:marLeft w:val="0"/>
          <w:marRight w:val="0"/>
          <w:marTop w:val="0"/>
          <w:marBottom w:val="0"/>
          <w:divBdr>
            <w:top w:val="none" w:sz="0" w:space="0" w:color="auto"/>
            <w:left w:val="none" w:sz="0" w:space="0" w:color="auto"/>
            <w:bottom w:val="none" w:sz="0" w:space="0" w:color="auto"/>
            <w:right w:val="none" w:sz="0" w:space="0" w:color="auto"/>
          </w:divBdr>
        </w:div>
        <w:div w:id="860360754">
          <w:marLeft w:val="0"/>
          <w:marRight w:val="0"/>
          <w:marTop w:val="0"/>
          <w:marBottom w:val="0"/>
          <w:divBdr>
            <w:top w:val="none" w:sz="0" w:space="0" w:color="auto"/>
            <w:left w:val="none" w:sz="0" w:space="0" w:color="auto"/>
            <w:bottom w:val="none" w:sz="0" w:space="0" w:color="auto"/>
            <w:right w:val="none" w:sz="0" w:space="0" w:color="auto"/>
          </w:divBdr>
        </w:div>
        <w:div w:id="860360768">
          <w:marLeft w:val="0"/>
          <w:marRight w:val="0"/>
          <w:marTop w:val="0"/>
          <w:marBottom w:val="0"/>
          <w:divBdr>
            <w:top w:val="none" w:sz="0" w:space="0" w:color="auto"/>
            <w:left w:val="none" w:sz="0" w:space="0" w:color="auto"/>
            <w:bottom w:val="none" w:sz="0" w:space="0" w:color="auto"/>
            <w:right w:val="none" w:sz="0" w:space="0" w:color="auto"/>
          </w:divBdr>
        </w:div>
        <w:div w:id="860360770">
          <w:marLeft w:val="0"/>
          <w:marRight w:val="0"/>
          <w:marTop w:val="0"/>
          <w:marBottom w:val="0"/>
          <w:divBdr>
            <w:top w:val="none" w:sz="0" w:space="0" w:color="auto"/>
            <w:left w:val="none" w:sz="0" w:space="0" w:color="auto"/>
            <w:bottom w:val="none" w:sz="0" w:space="0" w:color="auto"/>
            <w:right w:val="none" w:sz="0" w:space="0" w:color="auto"/>
          </w:divBdr>
        </w:div>
        <w:div w:id="860360772">
          <w:marLeft w:val="0"/>
          <w:marRight w:val="0"/>
          <w:marTop w:val="0"/>
          <w:marBottom w:val="0"/>
          <w:divBdr>
            <w:top w:val="none" w:sz="0" w:space="0" w:color="auto"/>
            <w:left w:val="none" w:sz="0" w:space="0" w:color="auto"/>
            <w:bottom w:val="none" w:sz="0" w:space="0" w:color="auto"/>
            <w:right w:val="none" w:sz="0" w:space="0" w:color="auto"/>
          </w:divBdr>
        </w:div>
        <w:div w:id="860360773">
          <w:marLeft w:val="0"/>
          <w:marRight w:val="0"/>
          <w:marTop w:val="0"/>
          <w:marBottom w:val="0"/>
          <w:divBdr>
            <w:top w:val="none" w:sz="0" w:space="0" w:color="auto"/>
            <w:left w:val="none" w:sz="0" w:space="0" w:color="auto"/>
            <w:bottom w:val="none" w:sz="0" w:space="0" w:color="auto"/>
            <w:right w:val="none" w:sz="0" w:space="0" w:color="auto"/>
          </w:divBdr>
        </w:div>
        <w:div w:id="860360774">
          <w:marLeft w:val="0"/>
          <w:marRight w:val="0"/>
          <w:marTop w:val="0"/>
          <w:marBottom w:val="0"/>
          <w:divBdr>
            <w:top w:val="none" w:sz="0" w:space="0" w:color="auto"/>
            <w:left w:val="none" w:sz="0" w:space="0" w:color="auto"/>
            <w:bottom w:val="none" w:sz="0" w:space="0" w:color="auto"/>
            <w:right w:val="none" w:sz="0" w:space="0" w:color="auto"/>
          </w:divBdr>
        </w:div>
        <w:div w:id="860360775">
          <w:marLeft w:val="0"/>
          <w:marRight w:val="0"/>
          <w:marTop w:val="0"/>
          <w:marBottom w:val="0"/>
          <w:divBdr>
            <w:top w:val="none" w:sz="0" w:space="0" w:color="auto"/>
            <w:left w:val="none" w:sz="0" w:space="0" w:color="auto"/>
            <w:bottom w:val="none" w:sz="0" w:space="0" w:color="auto"/>
            <w:right w:val="none" w:sz="0" w:space="0" w:color="auto"/>
          </w:divBdr>
        </w:div>
        <w:div w:id="860360776">
          <w:marLeft w:val="0"/>
          <w:marRight w:val="0"/>
          <w:marTop w:val="0"/>
          <w:marBottom w:val="0"/>
          <w:divBdr>
            <w:top w:val="none" w:sz="0" w:space="0" w:color="auto"/>
            <w:left w:val="none" w:sz="0" w:space="0" w:color="auto"/>
            <w:bottom w:val="none" w:sz="0" w:space="0" w:color="auto"/>
            <w:right w:val="none" w:sz="0" w:space="0" w:color="auto"/>
          </w:divBdr>
        </w:div>
        <w:div w:id="860360797">
          <w:marLeft w:val="0"/>
          <w:marRight w:val="0"/>
          <w:marTop w:val="0"/>
          <w:marBottom w:val="0"/>
          <w:divBdr>
            <w:top w:val="none" w:sz="0" w:space="0" w:color="auto"/>
            <w:left w:val="none" w:sz="0" w:space="0" w:color="auto"/>
            <w:bottom w:val="none" w:sz="0" w:space="0" w:color="auto"/>
            <w:right w:val="none" w:sz="0" w:space="0" w:color="auto"/>
          </w:divBdr>
        </w:div>
        <w:div w:id="860360800">
          <w:marLeft w:val="0"/>
          <w:marRight w:val="0"/>
          <w:marTop w:val="0"/>
          <w:marBottom w:val="0"/>
          <w:divBdr>
            <w:top w:val="none" w:sz="0" w:space="0" w:color="auto"/>
            <w:left w:val="none" w:sz="0" w:space="0" w:color="auto"/>
            <w:bottom w:val="none" w:sz="0" w:space="0" w:color="auto"/>
            <w:right w:val="none" w:sz="0" w:space="0" w:color="auto"/>
          </w:divBdr>
        </w:div>
        <w:div w:id="860360802">
          <w:marLeft w:val="0"/>
          <w:marRight w:val="0"/>
          <w:marTop w:val="0"/>
          <w:marBottom w:val="0"/>
          <w:divBdr>
            <w:top w:val="none" w:sz="0" w:space="0" w:color="auto"/>
            <w:left w:val="none" w:sz="0" w:space="0" w:color="auto"/>
            <w:bottom w:val="none" w:sz="0" w:space="0" w:color="auto"/>
            <w:right w:val="none" w:sz="0" w:space="0" w:color="auto"/>
          </w:divBdr>
        </w:div>
        <w:div w:id="860360821">
          <w:marLeft w:val="0"/>
          <w:marRight w:val="0"/>
          <w:marTop w:val="0"/>
          <w:marBottom w:val="0"/>
          <w:divBdr>
            <w:top w:val="none" w:sz="0" w:space="0" w:color="auto"/>
            <w:left w:val="none" w:sz="0" w:space="0" w:color="auto"/>
            <w:bottom w:val="none" w:sz="0" w:space="0" w:color="auto"/>
            <w:right w:val="none" w:sz="0" w:space="0" w:color="auto"/>
          </w:divBdr>
        </w:div>
        <w:div w:id="860360830">
          <w:marLeft w:val="0"/>
          <w:marRight w:val="0"/>
          <w:marTop w:val="0"/>
          <w:marBottom w:val="0"/>
          <w:divBdr>
            <w:top w:val="none" w:sz="0" w:space="0" w:color="auto"/>
            <w:left w:val="none" w:sz="0" w:space="0" w:color="auto"/>
            <w:bottom w:val="none" w:sz="0" w:space="0" w:color="auto"/>
            <w:right w:val="none" w:sz="0" w:space="0" w:color="auto"/>
          </w:divBdr>
        </w:div>
        <w:div w:id="860360831">
          <w:marLeft w:val="0"/>
          <w:marRight w:val="0"/>
          <w:marTop w:val="0"/>
          <w:marBottom w:val="0"/>
          <w:divBdr>
            <w:top w:val="none" w:sz="0" w:space="0" w:color="auto"/>
            <w:left w:val="none" w:sz="0" w:space="0" w:color="auto"/>
            <w:bottom w:val="none" w:sz="0" w:space="0" w:color="auto"/>
            <w:right w:val="none" w:sz="0" w:space="0" w:color="auto"/>
          </w:divBdr>
        </w:div>
        <w:div w:id="860360833">
          <w:marLeft w:val="0"/>
          <w:marRight w:val="0"/>
          <w:marTop w:val="0"/>
          <w:marBottom w:val="0"/>
          <w:divBdr>
            <w:top w:val="none" w:sz="0" w:space="0" w:color="auto"/>
            <w:left w:val="none" w:sz="0" w:space="0" w:color="auto"/>
            <w:bottom w:val="none" w:sz="0" w:space="0" w:color="auto"/>
            <w:right w:val="none" w:sz="0" w:space="0" w:color="auto"/>
          </w:divBdr>
        </w:div>
        <w:div w:id="860360837">
          <w:marLeft w:val="0"/>
          <w:marRight w:val="0"/>
          <w:marTop w:val="0"/>
          <w:marBottom w:val="0"/>
          <w:divBdr>
            <w:top w:val="none" w:sz="0" w:space="0" w:color="auto"/>
            <w:left w:val="none" w:sz="0" w:space="0" w:color="auto"/>
            <w:bottom w:val="none" w:sz="0" w:space="0" w:color="auto"/>
            <w:right w:val="none" w:sz="0" w:space="0" w:color="auto"/>
          </w:divBdr>
        </w:div>
        <w:div w:id="860360844">
          <w:marLeft w:val="0"/>
          <w:marRight w:val="0"/>
          <w:marTop w:val="0"/>
          <w:marBottom w:val="0"/>
          <w:divBdr>
            <w:top w:val="none" w:sz="0" w:space="0" w:color="auto"/>
            <w:left w:val="none" w:sz="0" w:space="0" w:color="auto"/>
            <w:bottom w:val="none" w:sz="0" w:space="0" w:color="auto"/>
            <w:right w:val="none" w:sz="0" w:space="0" w:color="auto"/>
          </w:divBdr>
        </w:div>
        <w:div w:id="860360846">
          <w:marLeft w:val="0"/>
          <w:marRight w:val="0"/>
          <w:marTop w:val="0"/>
          <w:marBottom w:val="0"/>
          <w:divBdr>
            <w:top w:val="none" w:sz="0" w:space="0" w:color="auto"/>
            <w:left w:val="none" w:sz="0" w:space="0" w:color="auto"/>
            <w:bottom w:val="none" w:sz="0" w:space="0" w:color="auto"/>
            <w:right w:val="none" w:sz="0" w:space="0" w:color="auto"/>
          </w:divBdr>
        </w:div>
      </w:divsChild>
    </w:div>
    <w:div w:id="860360766">
      <w:marLeft w:val="0"/>
      <w:marRight w:val="0"/>
      <w:marTop w:val="0"/>
      <w:marBottom w:val="0"/>
      <w:divBdr>
        <w:top w:val="none" w:sz="0" w:space="0" w:color="auto"/>
        <w:left w:val="none" w:sz="0" w:space="0" w:color="auto"/>
        <w:bottom w:val="none" w:sz="0" w:space="0" w:color="auto"/>
        <w:right w:val="none" w:sz="0" w:space="0" w:color="auto"/>
      </w:divBdr>
    </w:div>
    <w:div w:id="860360777">
      <w:marLeft w:val="0"/>
      <w:marRight w:val="0"/>
      <w:marTop w:val="0"/>
      <w:marBottom w:val="0"/>
      <w:divBdr>
        <w:top w:val="none" w:sz="0" w:space="0" w:color="auto"/>
        <w:left w:val="none" w:sz="0" w:space="0" w:color="auto"/>
        <w:bottom w:val="none" w:sz="0" w:space="0" w:color="auto"/>
        <w:right w:val="none" w:sz="0" w:space="0" w:color="auto"/>
      </w:divBdr>
    </w:div>
    <w:div w:id="860360780">
      <w:marLeft w:val="0"/>
      <w:marRight w:val="0"/>
      <w:marTop w:val="0"/>
      <w:marBottom w:val="0"/>
      <w:divBdr>
        <w:top w:val="none" w:sz="0" w:space="0" w:color="auto"/>
        <w:left w:val="none" w:sz="0" w:space="0" w:color="auto"/>
        <w:bottom w:val="none" w:sz="0" w:space="0" w:color="auto"/>
        <w:right w:val="none" w:sz="0" w:space="0" w:color="auto"/>
      </w:divBdr>
      <w:divsChild>
        <w:div w:id="860360781">
          <w:marLeft w:val="720"/>
          <w:marRight w:val="0"/>
          <w:marTop w:val="0"/>
          <w:marBottom w:val="0"/>
          <w:divBdr>
            <w:top w:val="none" w:sz="0" w:space="0" w:color="auto"/>
            <w:left w:val="none" w:sz="0" w:space="0" w:color="auto"/>
            <w:bottom w:val="none" w:sz="0" w:space="0" w:color="auto"/>
            <w:right w:val="none" w:sz="0" w:space="0" w:color="auto"/>
          </w:divBdr>
        </w:div>
        <w:div w:id="860360782">
          <w:marLeft w:val="720"/>
          <w:marRight w:val="0"/>
          <w:marTop w:val="0"/>
          <w:marBottom w:val="0"/>
          <w:divBdr>
            <w:top w:val="none" w:sz="0" w:space="0" w:color="auto"/>
            <w:left w:val="none" w:sz="0" w:space="0" w:color="auto"/>
            <w:bottom w:val="none" w:sz="0" w:space="0" w:color="auto"/>
            <w:right w:val="none" w:sz="0" w:space="0" w:color="auto"/>
          </w:divBdr>
        </w:div>
      </w:divsChild>
    </w:div>
    <w:div w:id="860360783">
      <w:marLeft w:val="0"/>
      <w:marRight w:val="0"/>
      <w:marTop w:val="0"/>
      <w:marBottom w:val="0"/>
      <w:divBdr>
        <w:top w:val="none" w:sz="0" w:space="0" w:color="auto"/>
        <w:left w:val="none" w:sz="0" w:space="0" w:color="auto"/>
        <w:bottom w:val="none" w:sz="0" w:space="0" w:color="auto"/>
        <w:right w:val="none" w:sz="0" w:space="0" w:color="auto"/>
      </w:divBdr>
    </w:div>
    <w:div w:id="860360784">
      <w:marLeft w:val="0"/>
      <w:marRight w:val="0"/>
      <w:marTop w:val="0"/>
      <w:marBottom w:val="0"/>
      <w:divBdr>
        <w:top w:val="none" w:sz="0" w:space="0" w:color="auto"/>
        <w:left w:val="none" w:sz="0" w:space="0" w:color="auto"/>
        <w:bottom w:val="none" w:sz="0" w:space="0" w:color="auto"/>
        <w:right w:val="none" w:sz="0" w:space="0" w:color="auto"/>
      </w:divBdr>
    </w:div>
    <w:div w:id="860360786">
      <w:marLeft w:val="0"/>
      <w:marRight w:val="0"/>
      <w:marTop w:val="0"/>
      <w:marBottom w:val="0"/>
      <w:divBdr>
        <w:top w:val="none" w:sz="0" w:space="0" w:color="auto"/>
        <w:left w:val="none" w:sz="0" w:space="0" w:color="auto"/>
        <w:bottom w:val="none" w:sz="0" w:space="0" w:color="auto"/>
        <w:right w:val="none" w:sz="0" w:space="0" w:color="auto"/>
      </w:divBdr>
      <w:divsChild>
        <w:div w:id="860360778">
          <w:marLeft w:val="720"/>
          <w:marRight w:val="0"/>
          <w:marTop w:val="0"/>
          <w:marBottom w:val="0"/>
          <w:divBdr>
            <w:top w:val="none" w:sz="0" w:space="0" w:color="auto"/>
            <w:left w:val="none" w:sz="0" w:space="0" w:color="auto"/>
            <w:bottom w:val="none" w:sz="0" w:space="0" w:color="auto"/>
            <w:right w:val="none" w:sz="0" w:space="0" w:color="auto"/>
          </w:divBdr>
        </w:div>
        <w:div w:id="860360785">
          <w:marLeft w:val="720"/>
          <w:marRight w:val="0"/>
          <w:marTop w:val="0"/>
          <w:marBottom w:val="0"/>
          <w:divBdr>
            <w:top w:val="none" w:sz="0" w:space="0" w:color="auto"/>
            <w:left w:val="none" w:sz="0" w:space="0" w:color="auto"/>
            <w:bottom w:val="none" w:sz="0" w:space="0" w:color="auto"/>
            <w:right w:val="none" w:sz="0" w:space="0" w:color="auto"/>
          </w:divBdr>
        </w:div>
        <w:div w:id="860360789">
          <w:marLeft w:val="720"/>
          <w:marRight w:val="0"/>
          <w:marTop w:val="0"/>
          <w:marBottom w:val="0"/>
          <w:divBdr>
            <w:top w:val="none" w:sz="0" w:space="0" w:color="auto"/>
            <w:left w:val="none" w:sz="0" w:space="0" w:color="auto"/>
            <w:bottom w:val="none" w:sz="0" w:space="0" w:color="auto"/>
            <w:right w:val="none" w:sz="0" w:space="0" w:color="auto"/>
          </w:divBdr>
        </w:div>
      </w:divsChild>
    </w:div>
    <w:div w:id="860360787">
      <w:marLeft w:val="0"/>
      <w:marRight w:val="0"/>
      <w:marTop w:val="0"/>
      <w:marBottom w:val="0"/>
      <w:divBdr>
        <w:top w:val="none" w:sz="0" w:space="0" w:color="auto"/>
        <w:left w:val="none" w:sz="0" w:space="0" w:color="auto"/>
        <w:bottom w:val="none" w:sz="0" w:space="0" w:color="auto"/>
        <w:right w:val="none" w:sz="0" w:space="0" w:color="auto"/>
      </w:divBdr>
      <w:divsChild>
        <w:div w:id="860360779">
          <w:marLeft w:val="1109"/>
          <w:marRight w:val="0"/>
          <w:marTop w:val="0"/>
          <w:marBottom w:val="0"/>
          <w:divBdr>
            <w:top w:val="none" w:sz="0" w:space="0" w:color="auto"/>
            <w:left w:val="none" w:sz="0" w:space="0" w:color="auto"/>
            <w:bottom w:val="none" w:sz="0" w:space="0" w:color="auto"/>
            <w:right w:val="none" w:sz="0" w:space="0" w:color="auto"/>
          </w:divBdr>
        </w:div>
      </w:divsChild>
    </w:div>
    <w:div w:id="860360788">
      <w:marLeft w:val="0"/>
      <w:marRight w:val="0"/>
      <w:marTop w:val="0"/>
      <w:marBottom w:val="0"/>
      <w:divBdr>
        <w:top w:val="none" w:sz="0" w:space="0" w:color="auto"/>
        <w:left w:val="none" w:sz="0" w:space="0" w:color="auto"/>
        <w:bottom w:val="none" w:sz="0" w:space="0" w:color="auto"/>
        <w:right w:val="none" w:sz="0" w:space="0" w:color="auto"/>
      </w:divBdr>
    </w:div>
    <w:div w:id="860360790">
      <w:marLeft w:val="0"/>
      <w:marRight w:val="0"/>
      <w:marTop w:val="0"/>
      <w:marBottom w:val="0"/>
      <w:divBdr>
        <w:top w:val="none" w:sz="0" w:space="0" w:color="auto"/>
        <w:left w:val="none" w:sz="0" w:space="0" w:color="auto"/>
        <w:bottom w:val="none" w:sz="0" w:space="0" w:color="auto"/>
        <w:right w:val="none" w:sz="0" w:space="0" w:color="auto"/>
      </w:divBdr>
    </w:div>
    <w:div w:id="860360826">
      <w:marLeft w:val="0"/>
      <w:marRight w:val="0"/>
      <w:marTop w:val="0"/>
      <w:marBottom w:val="0"/>
      <w:divBdr>
        <w:top w:val="none" w:sz="0" w:space="0" w:color="auto"/>
        <w:left w:val="none" w:sz="0" w:space="0" w:color="auto"/>
        <w:bottom w:val="none" w:sz="0" w:space="0" w:color="auto"/>
        <w:right w:val="none" w:sz="0" w:space="0" w:color="auto"/>
      </w:divBdr>
    </w:div>
    <w:div w:id="860360828">
      <w:marLeft w:val="0"/>
      <w:marRight w:val="0"/>
      <w:marTop w:val="0"/>
      <w:marBottom w:val="0"/>
      <w:divBdr>
        <w:top w:val="none" w:sz="0" w:space="0" w:color="auto"/>
        <w:left w:val="none" w:sz="0" w:space="0" w:color="auto"/>
        <w:bottom w:val="none" w:sz="0" w:space="0" w:color="auto"/>
        <w:right w:val="none" w:sz="0" w:space="0" w:color="auto"/>
      </w:divBdr>
      <w:divsChild>
        <w:div w:id="860360717">
          <w:marLeft w:val="0"/>
          <w:marRight w:val="0"/>
          <w:marTop w:val="0"/>
          <w:marBottom w:val="0"/>
          <w:divBdr>
            <w:top w:val="none" w:sz="0" w:space="0" w:color="auto"/>
            <w:left w:val="none" w:sz="0" w:space="0" w:color="auto"/>
            <w:bottom w:val="none" w:sz="0" w:space="0" w:color="auto"/>
            <w:right w:val="none" w:sz="0" w:space="0" w:color="auto"/>
          </w:divBdr>
        </w:div>
        <w:div w:id="860360718">
          <w:marLeft w:val="0"/>
          <w:marRight w:val="0"/>
          <w:marTop w:val="0"/>
          <w:marBottom w:val="0"/>
          <w:divBdr>
            <w:top w:val="none" w:sz="0" w:space="0" w:color="auto"/>
            <w:left w:val="none" w:sz="0" w:space="0" w:color="auto"/>
            <w:bottom w:val="none" w:sz="0" w:space="0" w:color="auto"/>
            <w:right w:val="none" w:sz="0" w:space="0" w:color="auto"/>
          </w:divBdr>
        </w:div>
        <w:div w:id="860360722">
          <w:marLeft w:val="0"/>
          <w:marRight w:val="0"/>
          <w:marTop w:val="0"/>
          <w:marBottom w:val="0"/>
          <w:divBdr>
            <w:top w:val="none" w:sz="0" w:space="0" w:color="auto"/>
            <w:left w:val="none" w:sz="0" w:space="0" w:color="auto"/>
            <w:bottom w:val="none" w:sz="0" w:space="0" w:color="auto"/>
            <w:right w:val="none" w:sz="0" w:space="0" w:color="auto"/>
          </w:divBdr>
        </w:div>
        <w:div w:id="860360724">
          <w:marLeft w:val="0"/>
          <w:marRight w:val="0"/>
          <w:marTop w:val="0"/>
          <w:marBottom w:val="0"/>
          <w:divBdr>
            <w:top w:val="none" w:sz="0" w:space="0" w:color="auto"/>
            <w:left w:val="none" w:sz="0" w:space="0" w:color="auto"/>
            <w:bottom w:val="none" w:sz="0" w:space="0" w:color="auto"/>
            <w:right w:val="none" w:sz="0" w:space="0" w:color="auto"/>
          </w:divBdr>
        </w:div>
        <w:div w:id="860360727">
          <w:marLeft w:val="0"/>
          <w:marRight w:val="0"/>
          <w:marTop w:val="0"/>
          <w:marBottom w:val="0"/>
          <w:divBdr>
            <w:top w:val="none" w:sz="0" w:space="0" w:color="auto"/>
            <w:left w:val="none" w:sz="0" w:space="0" w:color="auto"/>
            <w:bottom w:val="none" w:sz="0" w:space="0" w:color="auto"/>
            <w:right w:val="none" w:sz="0" w:space="0" w:color="auto"/>
          </w:divBdr>
        </w:div>
        <w:div w:id="860360728">
          <w:marLeft w:val="0"/>
          <w:marRight w:val="0"/>
          <w:marTop w:val="0"/>
          <w:marBottom w:val="0"/>
          <w:divBdr>
            <w:top w:val="none" w:sz="0" w:space="0" w:color="auto"/>
            <w:left w:val="none" w:sz="0" w:space="0" w:color="auto"/>
            <w:bottom w:val="none" w:sz="0" w:space="0" w:color="auto"/>
            <w:right w:val="none" w:sz="0" w:space="0" w:color="auto"/>
          </w:divBdr>
        </w:div>
        <w:div w:id="860360730">
          <w:marLeft w:val="0"/>
          <w:marRight w:val="0"/>
          <w:marTop w:val="0"/>
          <w:marBottom w:val="0"/>
          <w:divBdr>
            <w:top w:val="none" w:sz="0" w:space="0" w:color="auto"/>
            <w:left w:val="none" w:sz="0" w:space="0" w:color="auto"/>
            <w:bottom w:val="none" w:sz="0" w:space="0" w:color="auto"/>
            <w:right w:val="none" w:sz="0" w:space="0" w:color="auto"/>
          </w:divBdr>
        </w:div>
        <w:div w:id="860360731">
          <w:marLeft w:val="0"/>
          <w:marRight w:val="0"/>
          <w:marTop w:val="0"/>
          <w:marBottom w:val="0"/>
          <w:divBdr>
            <w:top w:val="none" w:sz="0" w:space="0" w:color="auto"/>
            <w:left w:val="none" w:sz="0" w:space="0" w:color="auto"/>
            <w:bottom w:val="none" w:sz="0" w:space="0" w:color="auto"/>
            <w:right w:val="none" w:sz="0" w:space="0" w:color="auto"/>
          </w:divBdr>
        </w:div>
        <w:div w:id="860360737">
          <w:marLeft w:val="0"/>
          <w:marRight w:val="0"/>
          <w:marTop w:val="0"/>
          <w:marBottom w:val="0"/>
          <w:divBdr>
            <w:top w:val="none" w:sz="0" w:space="0" w:color="auto"/>
            <w:left w:val="none" w:sz="0" w:space="0" w:color="auto"/>
            <w:bottom w:val="none" w:sz="0" w:space="0" w:color="auto"/>
            <w:right w:val="none" w:sz="0" w:space="0" w:color="auto"/>
          </w:divBdr>
        </w:div>
        <w:div w:id="860360744">
          <w:marLeft w:val="0"/>
          <w:marRight w:val="0"/>
          <w:marTop w:val="0"/>
          <w:marBottom w:val="0"/>
          <w:divBdr>
            <w:top w:val="none" w:sz="0" w:space="0" w:color="auto"/>
            <w:left w:val="none" w:sz="0" w:space="0" w:color="auto"/>
            <w:bottom w:val="none" w:sz="0" w:space="0" w:color="auto"/>
            <w:right w:val="none" w:sz="0" w:space="0" w:color="auto"/>
          </w:divBdr>
        </w:div>
        <w:div w:id="860360748">
          <w:marLeft w:val="0"/>
          <w:marRight w:val="0"/>
          <w:marTop w:val="0"/>
          <w:marBottom w:val="0"/>
          <w:divBdr>
            <w:top w:val="none" w:sz="0" w:space="0" w:color="auto"/>
            <w:left w:val="none" w:sz="0" w:space="0" w:color="auto"/>
            <w:bottom w:val="none" w:sz="0" w:space="0" w:color="auto"/>
            <w:right w:val="none" w:sz="0" w:space="0" w:color="auto"/>
          </w:divBdr>
        </w:div>
        <w:div w:id="860360751">
          <w:marLeft w:val="0"/>
          <w:marRight w:val="0"/>
          <w:marTop w:val="0"/>
          <w:marBottom w:val="0"/>
          <w:divBdr>
            <w:top w:val="none" w:sz="0" w:space="0" w:color="auto"/>
            <w:left w:val="none" w:sz="0" w:space="0" w:color="auto"/>
            <w:bottom w:val="none" w:sz="0" w:space="0" w:color="auto"/>
            <w:right w:val="none" w:sz="0" w:space="0" w:color="auto"/>
          </w:divBdr>
        </w:div>
        <w:div w:id="860360759">
          <w:marLeft w:val="0"/>
          <w:marRight w:val="0"/>
          <w:marTop w:val="0"/>
          <w:marBottom w:val="0"/>
          <w:divBdr>
            <w:top w:val="none" w:sz="0" w:space="0" w:color="auto"/>
            <w:left w:val="none" w:sz="0" w:space="0" w:color="auto"/>
            <w:bottom w:val="none" w:sz="0" w:space="0" w:color="auto"/>
            <w:right w:val="none" w:sz="0" w:space="0" w:color="auto"/>
          </w:divBdr>
        </w:div>
        <w:div w:id="860360764">
          <w:marLeft w:val="0"/>
          <w:marRight w:val="0"/>
          <w:marTop w:val="0"/>
          <w:marBottom w:val="0"/>
          <w:divBdr>
            <w:top w:val="none" w:sz="0" w:space="0" w:color="auto"/>
            <w:left w:val="none" w:sz="0" w:space="0" w:color="auto"/>
            <w:bottom w:val="none" w:sz="0" w:space="0" w:color="auto"/>
            <w:right w:val="none" w:sz="0" w:space="0" w:color="auto"/>
          </w:divBdr>
        </w:div>
        <w:div w:id="860360769">
          <w:marLeft w:val="0"/>
          <w:marRight w:val="0"/>
          <w:marTop w:val="0"/>
          <w:marBottom w:val="0"/>
          <w:divBdr>
            <w:top w:val="none" w:sz="0" w:space="0" w:color="auto"/>
            <w:left w:val="none" w:sz="0" w:space="0" w:color="auto"/>
            <w:bottom w:val="none" w:sz="0" w:space="0" w:color="auto"/>
            <w:right w:val="none" w:sz="0" w:space="0" w:color="auto"/>
          </w:divBdr>
        </w:div>
        <w:div w:id="860360791">
          <w:marLeft w:val="0"/>
          <w:marRight w:val="0"/>
          <w:marTop w:val="0"/>
          <w:marBottom w:val="0"/>
          <w:divBdr>
            <w:top w:val="none" w:sz="0" w:space="0" w:color="auto"/>
            <w:left w:val="none" w:sz="0" w:space="0" w:color="auto"/>
            <w:bottom w:val="none" w:sz="0" w:space="0" w:color="auto"/>
            <w:right w:val="none" w:sz="0" w:space="0" w:color="auto"/>
          </w:divBdr>
        </w:div>
        <w:div w:id="860360792">
          <w:marLeft w:val="0"/>
          <w:marRight w:val="0"/>
          <w:marTop w:val="0"/>
          <w:marBottom w:val="0"/>
          <w:divBdr>
            <w:top w:val="none" w:sz="0" w:space="0" w:color="auto"/>
            <w:left w:val="none" w:sz="0" w:space="0" w:color="auto"/>
            <w:bottom w:val="none" w:sz="0" w:space="0" w:color="auto"/>
            <w:right w:val="none" w:sz="0" w:space="0" w:color="auto"/>
          </w:divBdr>
        </w:div>
        <w:div w:id="860360793">
          <w:marLeft w:val="0"/>
          <w:marRight w:val="0"/>
          <w:marTop w:val="0"/>
          <w:marBottom w:val="0"/>
          <w:divBdr>
            <w:top w:val="none" w:sz="0" w:space="0" w:color="auto"/>
            <w:left w:val="none" w:sz="0" w:space="0" w:color="auto"/>
            <w:bottom w:val="none" w:sz="0" w:space="0" w:color="auto"/>
            <w:right w:val="none" w:sz="0" w:space="0" w:color="auto"/>
          </w:divBdr>
        </w:div>
        <w:div w:id="860360794">
          <w:marLeft w:val="0"/>
          <w:marRight w:val="0"/>
          <w:marTop w:val="0"/>
          <w:marBottom w:val="0"/>
          <w:divBdr>
            <w:top w:val="none" w:sz="0" w:space="0" w:color="auto"/>
            <w:left w:val="none" w:sz="0" w:space="0" w:color="auto"/>
            <w:bottom w:val="none" w:sz="0" w:space="0" w:color="auto"/>
            <w:right w:val="none" w:sz="0" w:space="0" w:color="auto"/>
          </w:divBdr>
        </w:div>
        <w:div w:id="860360799">
          <w:marLeft w:val="0"/>
          <w:marRight w:val="0"/>
          <w:marTop w:val="0"/>
          <w:marBottom w:val="0"/>
          <w:divBdr>
            <w:top w:val="none" w:sz="0" w:space="0" w:color="auto"/>
            <w:left w:val="none" w:sz="0" w:space="0" w:color="auto"/>
            <w:bottom w:val="none" w:sz="0" w:space="0" w:color="auto"/>
            <w:right w:val="none" w:sz="0" w:space="0" w:color="auto"/>
          </w:divBdr>
        </w:div>
        <w:div w:id="860360805">
          <w:marLeft w:val="0"/>
          <w:marRight w:val="0"/>
          <w:marTop w:val="0"/>
          <w:marBottom w:val="0"/>
          <w:divBdr>
            <w:top w:val="none" w:sz="0" w:space="0" w:color="auto"/>
            <w:left w:val="none" w:sz="0" w:space="0" w:color="auto"/>
            <w:bottom w:val="none" w:sz="0" w:space="0" w:color="auto"/>
            <w:right w:val="none" w:sz="0" w:space="0" w:color="auto"/>
          </w:divBdr>
        </w:div>
        <w:div w:id="860360808">
          <w:marLeft w:val="0"/>
          <w:marRight w:val="0"/>
          <w:marTop w:val="0"/>
          <w:marBottom w:val="0"/>
          <w:divBdr>
            <w:top w:val="none" w:sz="0" w:space="0" w:color="auto"/>
            <w:left w:val="none" w:sz="0" w:space="0" w:color="auto"/>
            <w:bottom w:val="none" w:sz="0" w:space="0" w:color="auto"/>
            <w:right w:val="none" w:sz="0" w:space="0" w:color="auto"/>
          </w:divBdr>
        </w:div>
        <w:div w:id="860360812">
          <w:marLeft w:val="0"/>
          <w:marRight w:val="0"/>
          <w:marTop w:val="0"/>
          <w:marBottom w:val="0"/>
          <w:divBdr>
            <w:top w:val="none" w:sz="0" w:space="0" w:color="auto"/>
            <w:left w:val="none" w:sz="0" w:space="0" w:color="auto"/>
            <w:bottom w:val="none" w:sz="0" w:space="0" w:color="auto"/>
            <w:right w:val="none" w:sz="0" w:space="0" w:color="auto"/>
          </w:divBdr>
        </w:div>
        <w:div w:id="860360813">
          <w:marLeft w:val="0"/>
          <w:marRight w:val="0"/>
          <w:marTop w:val="0"/>
          <w:marBottom w:val="0"/>
          <w:divBdr>
            <w:top w:val="none" w:sz="0" w:space="0" w:color="auto"/>
            <w:left w:val="none" w:sz="0" w:space="0" w:color="auto"/>
            <w:bottom w:val="none" w:sz="0" w:space="0" w:color="auto"/>
            <w:right w:val="none" w:sz="0" w:space="0" w:color="auto"/>
          </w:divBdr>
        </w:div>
        <w:div w:id="860360814">
          <w:marLeft w:val="0"/>
          <w:marRight w:val="0"/>
          <w:marTop w:val="0"/>
          <w:marBottom w:val="0"/>
          <w:divBdr>
            <w:top w:val="none" w:sz="0" w:space="0" w:color="auto"/>
            <w:left w:val="none" w:sz="0" w:space="0" w:color="auto"/>
            <w:bottom w:val="none" w:sz="0" w:space="0" w:color="auto"/>
            <w:right w:val="none" w:sz="0" w:space="0" w:color="auto"/>
          </w:divBdr>
        </w:div>
        <w:div w:id="860360819">
          <w:marLeft w:val="0"/>
          <w:marRight w:val="0"/>
          <w:marTop w:val="0"/>
          <w:marBottom w:val="0"/>
          <w:divBdr>
            <w:top w:val="none" w:sz="0" w:space="0" w:color="auto"/>
            <w:left w:val="none" w:sz="0" w:space="0" w:color="auto"/>
            <w:bottom w:val="none" w:sz="0" w:space="0" w:color="auto"/>
            <w:right w:val="none" w:sz="0" w:space="0" w:color="auto"/>
          </w:divBdr>
        </w:div>
        <w:div w:id="860360820">
          <w:marLeft w:val="0"/>
          <w:marRight w:val="0"/>
          <w:marTop w:val="0"/>
          <w:marBottom w:val="0"/>
          <w:divBdr>
            <w:top w:val="none" w:sz="0" w:space="0" w:color="auto"/>
            <w:left w:val="none" w:sz="0" w:space="0" w:color="auto"/>
            <w:bottom w:val="none" w:sz="0" w:space="0" w:color="auto"/>
            <w:right w:val="none" w:sz="0" w:space="0" w:color="auto"/>
          </w:divBdr>
        </w:div>
        <w:div w:id="860360824">
          <w:marLeft w:val="0"/>
          <w:marRight w:val="0"/>
          <w:marTop w:val="0"/>
          <w:marBottom w:val="0"/>
          <w:divBdr>
            <w:top w:val="none" w:sz="0" w:space="0" w:color="auto"/>
            <w:left w:val="none" w:sz="0" w:space="0" w:color="auto"/>
            <w:bottom w:val="none" w:sz="0" w:space="0" w:color="auto"/>
            <w:right w:val="none" w:sz="0" w:space="0" w:color="auto"/>
          </w:divBdr>
        </w:div>
        <w:div w:id="860360825">
          <w:marLeft w:val="0"/>
          <w:marRight w:val="0"/>
          <w:marTop w:val="0"/>
          <w:marBottom w:val="0"/>
          <w:divBdr>
            <w:top w:val="none" w:sz="0" w:space="0" w:color="auto"/>
            <w:left w:val="none" w:sz="0" w:space="0" w:color="auto"/>
            <w:bottom w:val="none" w:sz="0" w:space="0" w:color="auto"/>
            <w:right w:val="none" w:sz="0" w:space="0" w:color="auto"/>
          </w:divBdr>
        </w:div>
        <w:div w:id="860360827">
          <w:marLeft w:val="0"/>
          <w:marRight w:val="0"/>
          <w:marTop w:val="0"/>
          <w:marBottom w:val="0"/>
          <w:divBdr>
            <w:top w:val="none" w:sz="0" w:space="0" w:color="auto"/>
            <w:left w:val="none" w:sz="0" w:space="0" w:color="auto"/>
            <w:bottom w:val="none" w:sz="0" w:space="0" w:color="auto"/>
            <w:right w:val="none" w:sz="0" w:space="0" w:color="auto"/>
          </w:divBdr>
        </w:div>
        <w:div w:id="860360832">
          <w:marLeft w:val="0"/>
          <w:marRight w:val="0"/>
          <w:marTop w:val="0"/>
          <w:marBottom w:val="0"/>
          <w:divBdr>
            <w:top w:val="none" w:sz="0" w:space="0" w:color="auto"/>
            <w:left w:val="none" w:sz="0" w:space="0" w:color="auto"/>
            <w:bottom w:val="none" w:sz="0" w:space="0" w:color="auto"/>
            <w:right w:val="none" w:sz="0" w:space="0" w:color="auto"/>
          </w:divBdr>
        </w:div>
        <w:div w:id="860360834">
          <w:marLeft w:val="0"/>
          <w:marRight w:val="0"/>
          <w:marTop w:val="0"/>
          <w:marBottom w:val="0"/>
          <w:divBdr>
            <w:top w:val="none" w:sz="0" w:space="0" w:color="auto"/>
            <w:left w:val="none" w:sz="0" w:space="0" w:color="auto"/>
            <w:bottom w:val="none" w:sz="0" w:space="0" w:color="auto"/>
            <w:right w:val="none" w:sz="0" w:space="0" w:color="auto"/>
          </w:divBdr>
        </w:div>
        <w:div w:id="860360836">
          <w:marLeft w:val="0"/>
          <w:marRight w:val="0"/>
          <w:marTop w:val="0"/>
          <w:marBottom w:val="0"/>
          <w:divBdr>
            <w:top w:val="none" w:sz="0" w:space="0" w:color="auto"/>
            <w:left w:val="none" w:sz="0" w:space="0" w:color="auto"/>
            <w:bottom w:val="none" w:sz="0" w:space="0" w:color="auto"/>
            <w:right w:val="none" w:sz="0" w:space="0" w:color="auto"/>
          </w:divBdr>
        </w:div>
        <w:div w:id="860360840">
          <w:marLeft w:val="0"/>
          <w:marRight w:val="0"/>
          <w:marTop w:val="0"/>
          <w:marBottom w:val="0"/>
          <w:divBdr>
            <w:top w:val="none" w:sz="0" w:space="0" w:color="auto"/>
            <w:left w:val="none" w:sz="0" w:space="0" w:color="auto"/>
            <w:bottom w:val="none" w:sz="0" w:space="0" w:color="auto"/>
            <w:right w:val="none" w:sz="0" w:space="0" w:color="auto"/>
          </w:divBdr>
        </w:div>
        <w:div w:id="860360845">
          <w:marLeft w:val="0"/>
          <w:marRight w:val="0"/>
          <w:marTop w:val="0"/>
          <w:marBottom w:val="0"/>
          <w:divBdr>
            <w:top w:val="none" w:sz="0" w:space="0" w:color="auto"/>
            <w:left w:val="none" w:sz="0" w:space="0" w:color="auto"/>
            <w:bottom w:val="none" w:sz="0" w:space="0" w:color="auto"/>
            <w:right w:val="none" w:sz="0" w:space="0" w:color="auto"/>
          </w:divBdr>
        </w:div>
      </w:divsChild>
    </w:div>
    <w:div w:id="860360850">
      <w:marLeft w:val="0"/>
      <w:marRight w:val="0"/>
      <w:marTop w:val="0"/>
      <w:marBottom w:val="0"/>
      <w:divBdr>
        <w:top w:val="none" w:sz="0" w:space="0" w:color="auto"/>
        <w:left w:val="none" w:sz="0" w:space="0" w:color="auto"/>
        <w:bottom w:val="none" w:sz="0" w:space="0" w:color="auto"/>
        <w:right w:val="none" w:sz="0" w:space="0" w:color="auto"/>
      </w:divBdr>
      <w:divsChild>
        <w:div w:id="86036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cz/user_files/fors_code_on_effectiveness_en.pdf" TargetMode="External"/><Relationship Id="rId13" Type="http://schemas.openxmlformats.org/officeDocument/2006/relationships/hyperlink" Target="http://www.fors.cz/wp-content/uploads/2014/04/brief-web.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opartnership.org/the-journey-from-istanbul-evidence-on-the-implementation-of-cso-de-principles/" TargetMode="External"/><Relationship Id="rId12" Type="http://schemas.openxmlformats.org/officeDocument/2006/relationships/hyperlink" Target="http://www.fors.cz/wp-content/uploads/2014/04/FoRS_CES_Metodika_gender_projektyZRS.pdf" TargetMode="External"/><Relationship Id="rId17" Type="http://schemas.openxmlformats.org/officeDocument/2006/relationships/hyperlink" Target="http://www.fors.cz/wp-content/uploads/2014/04/sustainability-web-FINAL_ENG.pdf" TargetMode="External"/><Relationship Id="rId2" Type="http://schemas.openxmlformats.org/officeDocument/2006/relationships/styles" Target="styles.xml"/><Relationship Id="rId16" Type="http://schemas.openxmlformats.org/officeDocument/2006/relationships/hyperlink" Target="http://www.fors.cz/sdruzeni-fors/dokumenty/tiskove-zprav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s.cz/wp-content/uploads/2012/08/fors_manual_A5_www.pdf" TargetMode="External"/><Relationship Id="rId5" Type="http://schemas.openxmlformats.org/officeDocument/2006/relationships/footnotes" Target="footnotes.xml"/><Relationship Id="rId15" Type="http://schemas.openxmlformats.org/officeDocument/2006/relationships/hyperlink" Target="http://www.fors.cz/wp-content/uploads/2012/12/AW-brief-EN.pdf" TargetMode="External"/><Relationship Id="rId10" Type="http://schemas.openxmlformats.org/officeDocument/2006/relationships/hyperlink" Target="http://www.fors.cz/wp-content/uploads/2014/11/aidwatch-final-4-web.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s.cz/user_files/strategiefors_final19.12.2011.pdf" TargetMode="External"/><Relationship Id="rId14" Type="http://schemas.openxmlformats.org/officeDocument/2006/relationships/hyperlink" Target="http://www.fors.cz/sdruzeni-fors/dokumenty/tiskove-zprav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ublic_opinion/archives/ebs/ebs_392_en.pdf" TargetMode="External"/><Relationship Id="rId2" Type="http://schemas.openxmlformats.org/officeDocument/2006/relationships/hyperlink" Target="http://fors.cz/user_files/strategiefors_final19.12.2011.pdf" TargetMode="External"/><Relationship Id="rId1" Type="http://schemas.openxmlformats.org/officeDocument/2006/relationships/hyperlink" Target="http://www.ppzrs.org" TargetMode="External"/><Relationship Id="rId4" Type="http://schemas.openxmlformats.org/officeDocument/2006/relationships/hyperlink" Target="http://ec.europa.eu/public_opinion/archives/ebs/ebs_39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5744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CONTRIBUTION TO THE GLOBAL PROCESS OF DEVELOPMENT EFFECTIVENESS: A CZECH CONTEXT”</dc:title>
  <dc:subject/>
  <dc:creator>CJ Chanco</dc:creator>
  <cp:keywords/>
  <dc:description/>
  <cp:lastModifiedBy>Mgr. Daniel Svoboda</cp:lastModifiedBy>
  <cp:revision>3</cp:revision>
  <cp:lastPrinted>2014-11-07T16:47:00Z</cp:lastPrinted>
  <dcterms:created xsi:type="dcterms:W3CDTF">2014-12-17T14:53:00Z</dcterms:created>
  <dcterms:modified xsi:type="dcterms:W3CDTF">2014-12-17T14:54:00Z</dcterms:modified>
</cp:coreProperties>
</file>